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rPr>
          <w:rFonts w:ascii="黑体" w:hAnsi="宋体"/>
          <w:b/>
          <w:bCs/>
          <w:color w:val="FF0000"/>
          <w:sz w:val="32"/>
        </w:rPr>
      </w:pPr>
      <w:bookmarkStart w:id="0" w:name="_GoBack"/>
      <w:bookmarkEnd w:id="0"/>
      <w:r>
        <w:rPr>
          <w:rFonts w:hint="eastAsia" w:ascii="宋体" w:hAnsi="宋体" w:cs="宋体"/>
          <w:color w:val="000000"/>
          <w:kern w:val="0"/>
          <w:sz w:val="24"/>
        </w:rPr>
        <w:t>证券代码：600200         证券简称：江苏吴中      公告编号：临2024-033</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autoSpaceDE w:val="0"/>
        <w:autoSpaceDN w:val="0"/>
        <w:adjustRightInd w:val="0"/>
        <w:spacing w:line="360" w:lineRule="auto"/>
        <w:ind w:firstLine="643" w:firstLineChars="200"/>
        <w:jc w:val="center"/>
        <w:rPr>
          <w:rFonts w:ascii="黑体" w:hAnsi="宋体" w:eastAsia="黑体"/>
          <w:b/>
          <w:bCs/>
          <w:color w:val="FF0000"/>
          <w:sz w:val="32"/>
        </w:rPr>
      </w:pPr>
      <w:r>
        <w:rPr>
          <w:rFonts w:hint="eastAsia" w:ascii="黑体" w:hAnsi="宋体" w:eastAsia="黑体"/>
          <w:b/>
          <w:bCs/>
          <w:color w:val="FF0000"/>
          <w:sz w:val="32"/>
        </w:rPr>
        <w:t>关于第一期员工持股计划第二个锁定期届满暨解锁</w:t>
      </w:r>
    </w:p>
    <w:p>
      <w:pPr>
        <w:autoSpaceDE w:val="0"/>
        <w:autoSpaceDN w:val="0"/>
        <w:adjustRightInd w:val="0"/>
        <w:spacing w:line="360" w:lineRule="auto"/>
        <w:ind w:firstLine="643" w:firstLineChars="200"/>
        <w:jc w:val="center"/>
        <w:rPr>
          <w:rFonts w:hint="eastAsia" w:ascii="ˎ̥" w:hAnsi="ˎ̥"/>
          <w:b/>
          <w:sz w:val="24"/>
        </w:rPr>
      </w:pPr>
      <w:r>
        <w:rPr>
          <w:rFonts w:hint="eastAsia" w:ascii="黑体" w:hAnsi="宋体" w:eastAsia="黑体"/>
          <w:b/>
          <w:bCs/>
          <w:color w:val="FF0000"/>
          <w:sz w:val="32"/>
        </w:rPr>
        <w:t>条件成就的公告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11"/>
        <w:spacing w:line="360" w:lineRule="auto"/>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于2024年4月23日召开第十一届董事会第一次会议和第十一届监事会第一次会议，审议通过了《关于第一期员工持股计划第二个锁定期届满暨解锁条件成就的议案》，具体情况如下：</w:t>
      </w:r>
    </w:p>
    <w:p>
      <w:pPr>
        <w:spacing w:line="360" w:lineRule="auto"/>
        <w:ind w:firstLine="482"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b/>
          <w:bCs/>
          <w:sz w:val="24"/>
        </w:rPr>
        <w:t>一、本员工持股计划的实施进展</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2021年12月16日，公司召开了第十届董事会2021年第四次临时会议（通讯表决），审议通过了《关于&lt;江苏吴中医药发展股份有限公司第一期员工持股计划（草案）&gt;及其摘要的议案》《关于&lt;江苏吴中医药发展股份有限公司第一期员工持股计划管理办法&gt;的议案》《关于提请股东大会授权董事会办理公司第一期员工持股计划有关事项的议案》等议案。公司独立董事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日，公司召开第十届监事会2021年第三次临时会议（通讯表决），审议通过了《关于&lt;江苏吴中医药发展股份有限公司第一期员工持股计划（草案）&gt;及其摘要的议案》《关于&lt;江苏吴中医药发展股份有限公司第一期员工持股计划管理办法&gt;的议案》等议案，公司监事会对第一期员工持股计划（以下简称“本员工持股计划”或“本持股计划”）的相关事项进行核实并出具了相关核查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2022年1月5日，公司召开2022年第一次临时股东大会,审议通过了《关于&lt;江苏吴中医药发展股份有限公司第一期员工持股计划（草案）&gt;及其摘要的议案》《关于&lt;江苏吴中医药发展股份有限公司第一期员工持股计划管理办法&gt;的议案》《关于提请股东大会授权董事会办理公司第一期员工持股计划有关事项的议案》等议案。</w:t>
      </w:r>
    </w:p>
    <w:p>
      <w:pPr>
        <w:spacing w:line="360" w:lineRule="auto"/>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3</w:t>
      </w:r>
      <w:r>
        <w:rPr>
          <w:rFonts w:hint="eastAsia" w:asciiTheme="minorEastAsia" w:hAnsiTheme="minorEastAsia" w:eastAsiaTheme="minorEastAsia" w:cstheme="minorEastAsia"/>
          <w:sz w:val="24"/>
        </w:rPr>
        <w:t>、2022年3月15日，公司收到中国证券登记结算有限责任公司出具的《过户登记确认书》，公司回购专用证券账户所持有的370.50万股已于2022年3月14日非交易过户至公司第一期员工持股计划账户，过户价格为3.68元/股。</w:t>
      </w:r>
    </w:p>
    <w:p>
      <w:pPr>
        <w:spacing w:line="360" w:lineRule="auto"/>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4</w:t>
      </w:r>
      <w:r>
        <w:rPr>
          <w:rFonts w:hint="eastAsia" w:asciiTheme="minorEastAsia" w:hAnsiTheme="minorEastAsia" w:eastAsiaTheme="minorEastAsia" w:cstheme="minorEastAsia"/>
          <w:sz w:val="24"/>
        </w:rPr>
        <w:t>、2023年4月25日，公司召开第十届董事会第七次会议及第十届监事会第七次会议，审议通过《关于第一期员工持股计划第一个锁定期届满暨解锁条件成就的议案》，符合解锁条件的持有人共30人，对应股票权益数量为131.32万股。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5、2023年8月28日，公司召开第十届董事会第八次会议及十届监事会第八次会议，审议通过《关于第一期员工持股计划预留份额分配的议案》。公司独立董事对此发表了同意的独立意见。</w:t>
      </w:r>
    </w:p>
    <w:p>
      <w:pPr>
        <w:spacing w:line="360" w:lineRule="auto"/>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6</w:t>
      </w:r>
      <w:r>
        <w:rPr>
          <w:rFonts w:hint="eastAsia" w:asciiTheme="minorEastAsia" w:hAnsiTheme="minorEastAsia" w:eastAsiaTheme="minorEastAsia" w:cstheme="minorEastAsia"/>
          <w:sz w:val="24"/>
        </w:rPr>
        <w:t>、2024年4月23日，公司召开第十一届董事会第一次会议及第十一届监事会第一次会议，审议通过《公司关于第一期员工持股计划第二个锁定期届满暨解锁条件成就的议案》。</w:t>
      </w:r>
    </w:p>
    <w:p>
      <w:pPr>
        <w:spacing w:line="360" w:lineRule="auto"/>
        <w:ind w:firstLine="482" w:firstLineChars="200"/>
        <w:rPr>
          <w:rFonts w:asciiTheme="minorEastAsia" w:hAnsiTheme="minorEastAsia" w:eastAsiaTheme="minorEastAsia" w:cstheme="minorEastAsia"/>
          <w:b/>
          <w:bCs/>
          <w:sz w:val="24"/>
        </w:rPr>
      </w:pPr>
    </w:p>
    <w:p>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二、本员工持股计划第二个锁定期业绩考核完成情况及其解锁情况</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江苏吴中医药发展股份有限公司第一期员工持股计划》和《江苏吴中医药发展股份有限公司第一期员工持股计划管理办法》的规定，本员工持股计划业绩考核指标分为公司层面的业绩考核指标与个人绩效考核指标。本员工持股计划第二个锁定期业绩考核指标成就说明如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0"/>
        <w:gridCol w:w="2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业绩考核目标</w:t>
            </w:r>
          </w:p>
        </w:tc>
        <w:tc>
          <w:tcPr>
            <w:tcW w:w="2902" w:type="dxa"/>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是否满足考核条件的说明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tcPr>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公司需满足下列两个条件之一：</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1、以公司2021年营业收入为基数，2023年营业收入增长率不低于20%；</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2、以公司2021年净利润为基数，2023年净利润增长率不低于20%。</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w:t>
            </w:r>
            <w:r>
              <w:rPr>
                <w:rFonts w:asciiTheme="minorEastAsia" w:hAnsiTheme="minorEastAsia" w:eastAsiaTheme="minorEastAsia" w:cstheme="minorEastAsia"/>
                <w:szCs w:val="21"/>
              </w:rPr>
              <w:t>1、上述“营业收入”指经审计的上市公司营业收入；</w:t>
            </w:r>
          </w:p>
          <w:p>
            <w:pPr>
              <w:rPr>
                <w:rFonts w:asciiTheme="minorEastAsia" w:hAnsiTheme="minorEastAsia" w:eastAsiaTheme="minorEastAsia" w:cstheme="minorEastAsia"/>
                <w:szCs w:val="21"/>
              </w:rPr>
            </w:pPr>
            <w:r>
              <w:rPr>
                <w:rFonts w:asciiTheme="minorEastAsia" w:hAnsiTheme="minorEastAsia" w:eastAsiaTheme="minorEastAsia" w:cstheme="minorEastAsia"/>
                <w:szCs w:val="21"/>
              </w:rPr>
              <w:t>2、上述“净利润”指经审计的归属于上市公司股东的净利润，但剔除本次及其</w:t>
            </w:r>
            <w:r>
              <w:rPr>
                <w:rFonts w:hint="eastAsia" w:asciiTheme="minorEastAsia" w:hAnsiTheme="minorEastAsia" w:eastAsiaTheme="minorEastAsia" w:cstheme="minorEastAsia"/>
                <w:szCs w:val="21"/>
              </w:rPr>
              <w:t>它员工持股计划和股权激励计划股份支付费用影响的数值作为计算依据。</w:t>
            </w:r>
          </w:p>
        </w:tc>
        <w:tc>
          <w:tcPr>
            <w:tcW w:w="2902" w:type="dxa"/>
          </w:tcPr>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根据中兴财光华会计师事务所（特殊普通合伙）出具的《公司2023年度审计报告》,公司业绩情况如下：2023年度,公司营业收入为223,996.25万元，与2021年度营业收入177,545.07万元相比，增长率为26.16%，满足解锁条件。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tcPr>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持有人个人层面的考核根据公司内部绩效考核相关制度实施。公司将对持有人每个考核年度的综合考评进行打分，并依照持有人的个人绩效考核等级确定其解锁比例。具体如下表所示：</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4"/>
              <w:gridCol w:w="998"/>
              <w:gridCol w:w="1086"/>
              <w:gridCol w:w="1129"/>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1" w:hRule="atLeast"/>
                <w:jc w:val="center"/>
              </w:trPr>
              <w:tc>
                <w:tcPr>
                  <w:tcW w:w="1227" w:type="pct"/>
                  <w:shd w:val="clear" w:color="auto" w:fill="F2F2F2"/>
                </w:tcPr>
                <w:p>
                  <w:pPr>
                    <w:jc w:val="center"/>
                    <w:rPr>
                      <w:b/>
                      <w:bCs/>
                      <w:szCs w:val="21"/>
                    </w:rPr>
                  </w:pPr>
                  <w:r>
                    <w:rPr>
                      <w:b/>
                      <w:bCs/>
                      <w:szCs w:val="21"/>
                    </w:rPr>
                    <w:t>等级</w:t>
                  </w:r>
                </w:p>
              </w:tc>
              <w:tc>
                <w:tcPr>
                  <w:tcW w:w="925" w:type="pct"/>
                  <w:shd w:val="clear" w:color="auto" w:fill="F2F2F2"/>
                </w:tcPr>
                <w:p>
                  <w:pPr>
                    <w:jc w:val="center"/>
                    <w:rPr>
                      <w:b/>
                      <w:bCs/>
                      <w:szCs w:val="21"/>
                    </w:rPr>
                  </w:pPr>
                  <w:r>
                    <w:rPr>
                      <w:b/>
                      <w:bCs/>
                      <w:szCs w:val="21"/>
                    </w:rPr>
                    <w:t>A</w:t>
                  </w:r>
                </w:p>
              </w:tc>
              <w:tc>
                <w:tcPr>
                  <w:tcW w:w="1006" w:type="pct"/>
                  <w:shd w:val="clear" w:color="auto" w:fill="F2F2F2"/>
                </w:tcPr>
                <w:p>
                  <w:pPr>
                    <w:jc w:val="center"/>
                    <w:rPr>
                      <w:b/>
                      <w:bCs/>
                      <w:szCs w:val="21"/>
                    </w:rPr>
                  </w:pPr>
                  <w:r>
                    <w:rPr>
                      <w:b/>
                      <w:bCs/>
                      <w:szCs w:val="21"/>
                    </w:rPr>
                    <w:t>B</w:t>
                  </w:r>
                </w:p>
              </w:tc>
              <w:tc>
                <w:tcPr>
                  <w:tcW w:w="1046" w:type="pct"/>
                  <w:shd w:val="clear" w:color="auto" w:fill="F2F2F2"/>
                </w:tcPr>
                <w:p>
                  <w:pPr>
                    <w:jc w:val="center"/>
                    <w:rPr>
                      <w:b/>
                      <w:bCs/>
                      <w:szCs w:val="21"/>
                    </w:rPr>
                  </w:pPr>
                  <w:r>
                    <w:rPr>
                      <w:b/>
                      <w:bCs/>
                      <w:szCs w:val="21"/>
                    </w:rPr>
                    <w:t>C</w:t>
                  </w:r>
                </w:p>
              </w:tc>
              <w:tc>
                <w:tcPr>
                  <w:tcW w:w="794" w:type="pct"/>
                  <w:shd w:val="clear" w:color="auto" w:fill="F2F2F2"/>
                </w:tcPr>
                <w:p>
                  <w:pPr>
                    <w:jc w:val="center"/>
                    <w:rPr>
                      <w:b/>
                      <w:bCs/>
                      <w:szCs w:val="21"/>
                    </w:rPr>
                  </w:pPr>
                  <w:r>
                    <w:rPr>
                      <w:b/>
                      <w:bCs/>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7" w:type="pct"/>
                  <w:shd w:val="clear" w:color="auto" w:fill="auto"/>
                </w:tcPr>
                <w:p>
                  <w:pPr>
                    <w:jc w:val="center"/>
                    <w:rPr>
                      <w:b/>
                      <w:bCs/>
                      <w:szCs w:val="21"/>
                    </w:rPr>
                  </w:pPr>
                  <w:r>
                    <w:rPr>
                      <w:b/>
                      <w:bCs/>
                      <w:szCs w:val="21"/>
                    </w:rPr>
                    <w:t>分数（S）</w:t>
                  </w:r>
                </w:p>
              </w:tc>
              <w:tc>
                <w:tcPr>
                  <w:tcW w:w="925" w:type="pct"/>
                  <w:shd w:val="clear" w:color="auto" w:fill="auto"/>
                </w:tcPr>
                <w:p>
                  <w:pPr>
                    <w:jc w:val="center"/>
                    <w:rPr>
                      <w:szCs w:val="21"/>
                    </w:rPr>
                  </w:pPr>
                  <w:r>
                    <w:rPr>
                      <w:szCs w:val="21"/>
                    </w:rPr>
                    <w:t>S≥80</w:t>
                  </w:r>
                </w:p>
              </w:tc>
              <w:tc>
                <w:tcPr>
                  <w:tcW w:w="1006" w:type="pct"/>
                  <w:shd w:val="clear" w:color="auto" w:fill="auto"/>
                </w:tcPr>
                <w:p>
                  <w:pPr>
                    <w:jc w:val="center"/>
                    <w:rPr>
                      <w:szCs w:val="21"/>
                    </w:rPr>
                  </w:pPr>
                  <w:r>
                    <w:rPr>
                      <w:szCs w:val="21"/>
                    </w:rPr>
                    <w:t>70≤S＜80</w:t>
                  </w:r>
                </w:p>
              </w:tc>
              <w:tc>
                <w:tcPr>
                  <w:tcW w:w="1046" w:type="pct"/>
                  <w:shd w:val="clear" w:color="auto" w:fill="auto"/>
                </w:tcPr>
                <w:p>
                  <w:pPr>
                    <w:jc w:val="center"/>
                    <w:rPr>
                      <w:szCs w:val="21"/>
                    </w:rPr>
                  </w:pPr>
                  <w:r>
                    <w:rPr>
                      <w:szCs w:val="21"/>
                    </w:rPr>
                    <w:t>60≤S＜70</w:t>
                  </w:r>
                </w:p>
              </w:tc>
              <w:tc>
                <w:tcPr>
                  <w:tcW w:w="794" w:type="pct"/>
                  <w:shd w:val="clear" w:color="auto" w:fill="auto"/>
                </w:tcPr>
                <w:p>
                  <w:pPr>
                    <w:jc w:val="center"/>
                    <w:rPr>
                      <w:szCs w:val="21"/>
                    </w:rPr>
                  </w:pPr>
                  <w:r>
                    <w:rPr>
                      <w:szCs w:val="21"/>
                    </w:rPr>
                    <w:t>S＜60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7" w:type="pct"/>
                  <w:shd w:val="clear" w:color="auto" w:fill="auto"/>
                </w:tcPr>
                <w:p>
                  <w:pPr>
                    <w:jc w:val="center"/>
                    <w:rPr>
                      <w:b/>
                      <w:bCs/>
                      <w:szCs w:val="21"/>
                    </w:rPr>
                  </w:pPr>
                  <w:r>
                    <w:rPr>
                      <w:b/>
                      <w:bCs/>
                      <w:szCs w:val="21"/>
                    </w:rPr>
                    <w:t>个人解锁比例</w:t>
                  </w:r>
                </w:p>
              </w:tc>
              <w:tc>
                <w:tcPr>
                  <w:tcW w:w="925" w:type="pct"/>
                  <w:shd w:val="clear" w:color="auto" w:fill="auto"/>
                </w:tcPr>
                <w:p>
                  <w:pPr>
                    <w:jc w:val="center"/>
                    <w:rPr>
                      <w:szCs w:val="21"/>
                    </w:rPr>
                  </w:pPr>
                  <w:r>
                    <w:rPr>
                      <w:szCs w:val="21"/>
                    </w:rPr>
                    <w:t>100%</w:t>
                  </w:r>
                </w:p>
              </w:tc>
              <w:tc>
                <w:tcPr>
                  <w:tcW w:w="1006" w:type="pct"/>
                  <w:shd w:val="clear" w:color="auto" w:fill="auto"/>
                </w:tcPr>
                <w:p>
                  <w:pPr>
                    <w:jc w:val="center"/>
                    <w:rPr>
                      <w:szCs w:val="21"/>
                    </w:rPr>
                  </w:pPr>
                  <w:r>
                    <w:rPr>
                      <w:szCs w:val="21"/>
                    </w:rPr>
                    <w:t>80%</w:t>
                  </w:r>
                </w:p>
              </w:tc>
              <w:tc>
                <w:tcPr>
                  <w:tcW w:w="1046" w:type="pct"/>
                  <w:shd w:val="clear" w:color="auto" w:fill="auto"/>
                </w:tcPr>
                <w:p>
                  <w:pPr>
                    <w:jc w:val="center"/>
                    <w:rPr>
                      <w:szCs w:val="21"/>
                    </w:rPr>
                  </w:pPr>
                  <w:r>
                    <w:rPr>
                      <w:szCs w:val="21"/>
                    </w:rPr>
                    <w:t>60%</w:t>
                  </w:r>
                </w:p>
              </w:tc>
              <w:tc>
                <w:tcPr>
                  <w:tcW w:w="794" w:type="pct"/>
                  <w:shd w:val="clear" w:color="auto" w:fill="auto"/>
                </w:tcPr>
                <w:p>
                  <w:pPr>
                    <w:jc w:val="center"/>
                    <w:rPr>
                      <w:szCs w:val="21"/>
                    </w:rPr>
                  </w:pPr>
                  <w:r>
                    <w:rPr>
                      <w:szCs w:val="21"/>
                    </w:rPr>
                    <w:t>0%</w:t>
                  </w:r>
                </w:p>
              </w:tc>
            </w:tr>
          </w:tbl>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在达到公司层面业绩考核的前提下，持有人可按照本持股计划规定比例解锁对应的标的股票，持有人个人当年可解锁额度=个人当年计划解锁额度×个人解锁比例。</w:t>
            </w:r>
          </w:p>
        </w:tc>
        <w:tc>
          <w:tcPr>
            <w:tcW w:w="2902" w:type="dxa"/>
          </w:tcPr>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35名持有人个人考核等级为“A”，符合全额解锁条件。</w:t>
            </w:r>
          </w:p>
        </w:tc>
      </w:tr>
    </w:tbl>
    <w:p>
      <w:pPr>
        <w:numPr>
          <w:ilvl w:val="0"/>
          <w:numId w:val="1"/>
        </w:numPr>
        <w:spacing w:line="360" w:lineRule="auto"/>
        <w:ind w:left="0" w:firstLine="0"/>
        <w:rPr>
          <w:rFonts w:asciiTheme="minorEastAsia" w:hAnsiTheme="minorEastAsia" w:eastAsiaTheme="minorEastAsia"/>
          <w:sz w:val="24"/>
        </w:rPr>
      </w:pPr>
      <w:r>
        <w:rPr>
          <w:rFonts w:hint="eastAsia" w:asciiTheme="minorEastAsia" w:hAnsiTheme="minorEastAsia" w:eastAsiaTheme="minorEastAsia"/>
          <w:sz w:val="24"/>
        </w:rPr>
        <w:t>综上所述，本员工持股计划第二个锁定期设定的公司层面2023年业绩考核指标及持有人个人2023年度绩效考核指标均已达成，按照本员工持股计划的相关规定，实际参与公司本次员工持股计划认购的持有人共39人，除了4名员工已离职，其余35名员工第二个锁定期的份额解锁条件已成就，其中，符合</w:t>
      </w:r>
      <w:r>
        <w:rPr>
          <w:rFonts w:hint="eastAsia" w:asciiTheme="minorEastAsia" w:hAnsiTheme="minorEastAsia" w:eastAsiaTheme="minorEastAsia" w:cstheme="minorEastAsia"/>
          <w:sz w:val="24"/>
        </w:rPr>
        <w:t>首次授予部分第二个锁定期解锁条件成就的</w:t>
      </w:r>
      <w:r>
        <w:rPr>
          <w:rFonts w:hint="eastAsia" w:asciiTheme="minorEastAsia" w:hAnsiTheme="minorEastAsia" w:eastAsiaTheme="minorEastAsia"/>
          <w:sz w:val="24"/>
        </w:rPr>
        <w:t>持有人</w:t>
      </w:r>
      <w:r>
        <w:rPr>
          <w:rFonts w:hint="eastAsia" w:asciiTheme="minorEastAsia" w:hAnsiTheme="minorEastAsia" w:eastAsiaTheme="minorEastAsia" w:cstheme="minorEastAsia"/>
          <w:sz w:val="24"/>
        </w:rPr>
        <w:t>为28名，符合预留份额分配第一个锁定期解锁条件成就的</w:t>
      </w:r>
      <w:r>
        <w:rPr>
          <w:rFonts w:hint="eastAsia" w:asciiTheme="minorEastAsia" w:hAnsiTheme="minorEastAsia" w:eastAsiaTheme="minorEastAsia"/>
          <w:sz w:val="24"/>
        </w:rPr>
        <w:t>持有人</w:t>
      </w:r>
      <w:r>
        <w:rPr>
          <w:rFonts w:hint="eastAsia" w:asciiTheme="minorEastAsia" w:hAnsiTheme="minorEastAsia" w:eastAsiaTheme="minorEastAsia" w:cstheme="minorEastAsia"/>
          <w:sz w:val="24"/>
        </w:rPr>
        <w:t>为7名。</w:t>
      </w:r>
      <w:r>
        <w:rPr>
          <w:rFonts w:hint="eastAsia" w:asciiTheme="minorEastAsia" w:hAnsiTheme="minorEastAsia" w:eastAsiaTheme="minorEastAsia"/>
          <w:sz w:val="24"/>
        </w:rPr>
        <w:t>对应股票权益数量为119</w:t>
      </w:r>
      <w:r>
        <w:rPr>
          <w:rFonts w:asciiTheme="minorEastAsia" w:hAnsiTheme="minorEastAsia" w:eastAsiaTheme="minorEastAsia"/>
          <w:sz w:val="24"/>
        </w:rPr>
        <w:t>.</w:t>
      </w:r>
      <w:r>
        <w:rPr>
          <w:rFonts w:hint="eastAsia" w:asciiTheme="minorEastAsia" w:hAnsiTheme="minorEastAsia" w:eastAsiaTheme="minorEastAsia"/>
          <w:sz w:val="24"/>
        </w:rPr>
        <w:t>59万股，占公司总股本的0.17%。</w:t>
      </w:r>
      <w:r>
        <w:rPr>
          <w:rFonts w:hint="eastAsia" w:asciiTheme="minorEastAsia" w:hAnsiTheme="minorEastAsia" w:eastAsiaTheme="minorEastAsia" w:cstheme="minorEastAsia"/>
          <w:sz w:val="24"/>
        </w:rPr>
        <w:t>首次授予部分第二个锁定期解锁条件成就的份额为98.49万股，约占公司目前总股本的0.14%，预留份额分配第一锁定期解锁条件成就的份额为21.10万股，约占公司目前总股本的0.03%。</w:t>
      </w:r>
      <w:r>
        <w:rPr>
          <w:rFonts w:hint="eastAsia" w:asciiTheme="minorEastAsia" w:hAnsiTheme="minorEastAsia" w:eastAsiaTheme="minorEastAsia"/>
          <w:sz w:val="24"/>
        </w:rPr>
        <w:t>公司将按照本次员工持股计划的规定对本员工持股计划的部分份额进行卖出清算。</w:t>
      </w:r>
    </w:p>
    <w:p>
      <w:pPr>
        <w:spacing w:line="360" w:lineRule="auto"/>
        <w:ind w:firstLine="540"/>
        <w:rPr>
          <w:rFonts w:asciiTheme="minorEastAsia" w:hAnsiTheme="minorEastAsia" w:eastAsiaTheme="minorEastAsia"/>
          <w:sz w:val="24"/>
        </w:rPr>
      </w:pPr>
    </w:p>
    <w:p>
      <w:pPr>
        <w:numPr>
          <w:ilvl w:val="0"/>
          <w:numId w:val="2"/>
        </w:numPr>
        <w:spacing w:line="360" w:lineRule="auto"/>
        <w:ind w:firstLine="540"/>
        <w:rPr>
          <w:rFonts w:asciiTheme="minorEastAsia" w:hAnsiTheme="minorEastAsia" w:eastAsiaTheme="minorEastAsia"/>
          <w:b/>
          <w:bCs/>
          <w:sz w:val="24"/>
        </w:rPr>
      </w:pPr>
      <w:r>
        <w:rPr>
          <w:rFonts w:hint="eastAsia" w:asciiTheme="minorEastAsia" w:hAnsiTheme="minorEastAsia" w:eastAsiaTheme="minorEastAsia"/>
          <w:b/>
          <w:bCs/>
          <w:sz w:val="24"/>
        </w:rPr>
        <w:t>董事会薪酬与考核委员会核查意见</w:t>
      </w:r>
    </w:p>
    <w:p>
      <w:pPr>
        <w:spacing w:line="360" w:lineRule="auto"/>
        <w:ind w:firstLine="480" w:firstLineChars="200"/>
        <w:rPr>
          <w:rFonts w:ascii="宋体" w:hAnsi="宋体" w:cstheme="minorBidi"/>
          <w:sz w:val="24"/>
        </w:rPr>
      </w:pPr>
      <w:r>
        <w:rPr>
          <w:rFonts w:hint="eastAsia" w:ascii="宋体" w:hAnsi="宋体"/>
          <w:sz w:val="24"/>
        </w:rPr>
        <w:t>根据《江苏吴中医药发展股份有限公司第一期员工持股计划》和《江苏吴中医药发展股份有限公司第一期员工持股计划管理办法》的规定，对公司第一期员工持股计划第二个锁定期解除限售条件成就与否进行了核查，我们认为：根据中兴财光华会计师事务所（特殊普通合伙）出具的《公司2023年度审计报告》, 2023年度公司营业收入为223,996.25万元，与2021年度营业收入相比，增长率为26.16%，满足解锁条件。符合本次员工持股计划解锁条件的持有人共35人，</w:t>
      </w:r>
      <w:r>
        <w:rPr>
          <w:rFonts w:hint="eastAsia" w:asciiTheme="minorEastAsia" w:hAnsiTheme="minorEastAsia"/>
          <w:sz w:val="24"/>
        </w:rPr>
        <w:t>其中，符合</w:t>
      </w:r>
      <w:r>
        <w:rPr>
          <w:rFonts w:hint="eastAsia" w:asciiTheme="minorEastAsia" w:hAnsiTheme="minorEastAsia" w:cstheme="minorEastAsia"/>
          <w:sz w:val="24"/>
        </w:rPr>
        <w:t>首次授予部分第二个锁定期解锁条件成就的</w:t>
      </w:r>
      <w:r>
        <w:rPr>
          <w:rFonts w:hint="eastAsia" w:asciiTheme="minorEastAsia" w:hAnsiTheme="minorEastAsia"/>
          <w:sz w:val="24"/>
        </w:rPr>
        <w:t>持有人</w:t>
      </w:r>
      <w:r>
        <w:rPr>
          <w:rFonts w:hint="eastAsia" w:asciiTheme="minorEastAsia" w:hAnsiTheme="minorEastAsia" w:cstheme="minorEastAsia"/>
          <w:sz w:val="24"/>
        </w:rPr>
        <w:t>为28名，符合预留份额分配第一个锁定期解锁条件成就的</w:t>
      </w:r>
      <w:r>
        <w:rPr>
          <w:rFonts w:hint="eastAsia" w:asciiTheme="minorEastAsia" w:hAnsiTheme="minorEastAsia"/>
          <w:sz w:val="24"/>
        </w:rPr>
        <w:t>持有人</w:t>
      </w:r>
      <w:r>
        <w:rPr>
          <w:rFonts w:hint="eastAsia" w:asciiTheme="minorEastAsia" w:hAnsiTheme="minorEastAsia" w:cstheme="minorEastAsia"/>
          <w:sz w:val="24"/>
        </w:rPr>
        <w:t>为7名。</w:t>
      </w:r>
      <w:r>
        <w:rPr>
          <w:rFonts w:hint="eastAsia" w:asciiTheme="minorEastAsia" w:hAnsiTheme="minorEastAsia"/>
          <w:sz w:val="24"/>
        </w:rPr>
        <w:t>对应股票权益数量为119</w:t>
      </w:r>
      <w:r>
        <w:rPr>
          <w:rFonts w:asciiTheme="minorEastAsia" w:hAnsiTheme="minorEastAsia"/>
          <w:sz w:val="24"/>
        </w:rPr>
        <w:t>.</w:t>
      </w:r>
      <w:r>
        <w:rPr>
          <w:rFonts w:hint="eastAsia" w:asciiTheme="minorEastAsia" w:hAnsiTheme="minorEastAsia"/>
          <w:sz w:val="24"/>
        </w:rPr>
        <w:t>59万股，占公司总股本的0.17%。</w:t>
      </w:r>
      <w:r>
        <w:rPr>
          <w:rFonts w:hint="eastAsia" w:asciiTheme="minorEastAsia" w:hAnsiTheme="minorEastAsia" w:cstheme="minorEastAsia"/>
          <w:sz w:val="24"/>
        </w:rPr>
        <w:t>首次授予部分第二个锁定期解锁条件成就的份额为98.49万股，约占公司目前总股本的0.14%，预留份额分配第一锁定期解锁条件成就的份额为21.10万股，约占公司目前总股本的0.03%。我们同意将该事项提交公司董事会审议。</w:t>
      </w:r>
    </w:p>
    <w:p>
      <w:pPr>
        <w:spacing w:line="360" w:lineRule="auto"/>
        <w:ind w:firstLine="540"/>
        <w:rPr>
          <w:rFonts w:asciiTheme="minorEastAsia" w:hAnsiTheme="minorEastAsia" w:eastAsiaTheme="minorEastAsia"/>
          <w:b/>
          <w:bCs/>
          <w:sz w:val="24"/>
        </w:rPr>
      </w:pPr>
      <w:r>
        <w:rPr>
          <w:rFonts w:hint="eastAsia" w:asciiTheme="minorEastAsia" w:hAnsiTheme="minorEastAsia" w:eastAsiaTheme="minorEastAsia"/>
          <w:b/>
          <w:bCs/>
          <w:sz w:val="24"/>
        </w:rPr>
        <w:t>四、监事会意见</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监事会认为：根据《江苏吴中医药发展股份有限公司第一期员工持股计划》和《江苏吴中医药发展股份有限公司第一期员工持股计划管理办法》的规定，公司第一期员工持股计划第二个锁定期届满暨解锁条件已成就，解锁程序合法、有效，不存在损害公司及全体股东利益的情形。</w:t>
      </w:r>
    </w:p>
    <w:p>
      <w:pPr>
        <w:spacing w:line="360" w:lineRule="auto"/>
        <w:ind w:firstLine="540"/>
        <w:rPr>
          <w:rFonts w:asciiTheme="minorEastAsia" w:hAnsiTheme="minorEastAsia" w:eastAsiaTheme="minorEastAsia"/>
          <w:sz w:val="24"/>
        </w:rPr>
      </w:pPr>
    </w:p>
    <w:p>
      <w:pPr>
        <w:spacing w:line="360" w:lineRule="auto"/>
        <w:ind w:firstLine="540"/>
        <w:rPr>
          <w:rFonts w:asciiTheme="minorEastAsia" w:hAnsiTheme="minorEastAsia" w:eastAsiaTheme="minorEastAsia"/>
          <w:b/>
          <w:bCs/>
          <w:sz w:val="24"/>
        </w:rPr>
      </w:pPr>
      <w:r>
        <w:rPr>
          <w:rFonts w:hint="eastAsia" w:asciiTheme="minorEastAsia" w:hAnsiTheme="minorEastAsia" w:eastAsiaTheme="minorEastAsia"/>
          <w:b/>
          <w:bCs/>
          <w:sz w:val="24"/>
        </w:rPr>
        <w:t>五、本员工持股计划存续期满后所持股份的处置办法</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（一）若本持股计划所持有的公司股票全部出售或过户至持股计划份额持有人，且持股计划资产依照本持股计划规定清算、分配完毕的，本持股计划即可终止。</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二）本持股计划的存续期届满前1个月，如持有的公司股票仍未全部出售或过户至持股计划份额持有人，经出席持有人会议的持有人所持2/3以上（含）份额同意并提交公司董事会审议通过，本持股计划的存续期可以延长。</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三）本持股计划提前终止或存续期满后，由管理委员会根据持有人会议的授权对持股计划资产进行清算，在终止或存续期届满后30个工作日内完成清算，并在依法扣除相关税费后，按照持有人所持份额进行分配。</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（四）本持股计划存续期满后，若持股计划所持资产仍包含标的股票的，由管理委员会确定处置办法。</w:t>
      </w:r>
    </w:p>
    <w:p>
      <w:pPr>
        <w:spacing w:line="360" w:lineRule="auto"/>
        <w:ind w:firstLine="540"/>
        <w:rPr>
          <w:rFonts w:asciiTheme="minorEastAsia" w:hAnsiTheme="minorEastAsia" w:eastAsiaTheme="minorEastAsia"/>
          <w:sz w:val="24"/>
        </w:rPr>
      </w:pPr>
    </w:p>
    <w:p>
      <w:pPr>
        <w:spacing w:line="360" w:lineRule="auto"/>
        <w:ind w:firstLine="540"/>
        <w:rPr>
          <w:rFonts w:asciiTheme="minorEastAsia" w:hAnsiTheme="minorEastAsia" w:eastAsiaTheme="minorEastAsia"/>
          <w:b/>
          <w:bCs/>
          <w:sz w:val="24"/>
        </w:rPr>
      </w:pPr>
      <w:r>
        <w:rPr>
          <w:rFonts w:hint="eastAsia" w:asciiTheme="minorEastAsia" w:hAnsiTheme="minorEastAsia" w:eastAsiaTheme="minorEastAsia"/>
          <w:b/>
          <w:bCs/>
          <w:sz w:val="24"/>
        </w:rPr>
        <w:t>六、其他说明</w:t>
      </w:r>
    </w:p>
    <w:p>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公司将根据第一期员工持股计划实施的进展情况，按照相关法律法规的规定及时履行信息披露义务。</w:t>
      </w:r>
    </w:p>
    <w:p>
      <w:pPr>
        <w:widowControl/>
        <w:spacing w:line="360" w:lineRule="auto"/>
        <w:ind w:firstLine="480" w:firstLineChars="200"/>
        <w:jc w:val="left"/>
        <w:rPr>
          <w:rFonts w:cs="宋体" w:asciiTheme="minorEastAsia" w:hAnsiTheme="minorEastAsia" w:eastAsiaTheme="minorEastAsia"/>
          <w:kern w:val="0"/>
          <w:sz w:val="24"/>
        </w:rPr>
      </w:pP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特此公告。</w:t>
      </w:r>
    </w:p>
    <w:p>
      <w:pPr>
        <w:widowControl/>
        <w:spacing w:line="360" w:lineRule="auto"/>
        <w:ind w:firstLine="480" w:firstLineChars="200"/>
        <w:jc w:val="left"/>
        <w:rPr>
          <w:rFonts w:cs="宋体" w:asciiTheme="minorEastAsia" w:hAnsiTheme="minorEastAsia" w:eastAsiaTheme="minorEastAsia"/>
          <w:kern w:val="0"/>
          <w:sz w:val="24"/>
        </w:rPr>
      </w:pPr>
    </w:p>
    <w:p>
      <w:pPr>
        <w:spacing w:line="360" w:lineRule="auto"/>
        <w:ind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pPr>
        <w:spacing w:line="360" w:lineRule="auto"/>
        <w:ind w:right="1200"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 xml:space="preserve">董事会      </w:t>
      </w:r>
    </w:p>
    <w:p>
      <w:pPr>
        <w:spacing w:line="360" w:lineRule="auto"/>
        <w:ind w:right="480" w:firstLine="5220" w:firstLineChars="2175"/>
        <w:jc w:val="center"/>
        <w:rPr>
          <w:rFonts w:ascii="宋体" w:hAnsi="宋体"/>
          <w:sz w:val="24"/>
        </w:rPr>
      </w:pPr>
      <w:r>
        <w:rPr>
          <w:rFonts w:hint="eastAsia" w:asciiTheme="minorEastAsia" w:hAnsiTheme="minorEastAsia" w:eastAsiaTheme="minorEastAsia"/>
          <w:sz w:val="24"/>
        </w:rPr>
        <w:t xml:space="preserve">    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F98B5"/>
    <w:multiLevelType w:val="singleLevel"/>
    <w:tmpl w:val="ABCF98B5"/>
    <w:lvl w:ilvl="0" w:tentative="0">
      <w:start w:val="3"/>
      <w:numFmt w:val="chineseCounting"/>
      <w:suff w:val="nothing"/>
      <w:lvlText w:val="%1、"/>
      <w:lvlJc w:val="left"/>
      <w:rPr>
        <w:rFonts w:hint="eastAsia"/>
      </w:rPr>
    </w:lvl>
  </w:abstractNum>
  <w:abstractNum w:abstractNumId="1">
    <w:nsid w:val="77548AD2"/>
    <w:multiLevelType w:val="singleLevel"/>
    <w:tmpl w:val="77548AD2"/>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A45784"/>
    <w:rsid w:val="000122B5"/>
    <w:rsid w:val="00014D70"/>
    <w:rsid w:val="0003171D"/>
    <w:rsid w:val="000377FA"/>
    <w:rsid w:val="000410E0"/>
    <w:rsid w:val="00083108"/>
    <w:rsid w:val="00086E94"/>
    <w:rsid w:val="00087AF0"/>
    <w:rsid w:val="000A47DF"/>
    <w:rsid w:val="000A4818"/>
    <w:rsid w:val="000B2840"/>
    <w:rsid w:val="000B471C"/>
    <w:rsid w:val="000C1EBF"/>
    <w:rsid w:val="000C334F"/>
    <w:rsid w:val="000D4DEB"/>
    <w:rsid w:val="000D5160"/>
    <w:rsid w:val="000F112E"/>
    <w:rsid w:val="00105C70"/>
    <w:rsid w:val="00115846"/>
    <w:rsid w:val="00115DE0"/>
    <w:rsid w:val="00125BB5"/>
    <w:rsid w:val="00125EB5"/>
    <w:rsid w:val="00141A30"/>
    <w:rsid w:val="0014235B"/>
    <w:rsid w:val="001449C0"/>
    <w:rsid w:val="00167B35"/>
    <w:rsid w:val="00172DDE"/>
    <w:rsid w:val="00184711"/>
    <w:rsid w:val="001A519A"/>
    <w:rsid w:val="001A6F91"/>
    <w:rsid w:val="001E24B1"/>
    <w:rsid w:val="001E7F03"/>
    <w:rsid w:val="00207C98"/>
    <w:rsid w:val="0021037C"/>
    <w:rsid w:val="00226381"/>
    <w:rsid w:val="00241269"/>
    <w:rsid w:val="002442A3"/>
    <w:rsid w:val="00244CA8"/>
    <w:rsid w:val="0025726D"/>
    <w:rsid w:val="0025795B"/>
    <w:rsid w:val="0027220C"/>
    <w:rsid w:val="002808AB"/>
    <w:rsid w:val="002818D2"/>
    <w:rsid w:val="00284B6B"/>
    <w:rsid w:val="00284BDA"/>
    <w:rsid w:val="002B7CCB"/>
    <w:rsid w:val="002D2369"/>
    <w:rsid w:val="002E17DB"/>
    <w:rsid w:val="002E3664"/>
    <w:rsid w:val="00324EB8"/>
    <w:rsid w:val="00340B27"/>
    <w:rsid w:val="00345027"/>
    <w:rsid w:val="0036359C"/>
    <w:rsid w:val="003819FD"/>
    <w:rsid w:val="003870CC"/>
    <w:rsid w:val="003B5345"/>
    <w:rsid w:val="003D3FFF"/>
    <w:rsid w:val="003E355B"/>
    <w:rsid w:val="003E611D"/>
    <w:rsid w:val="00437804"/>
    <w:rsid w:val="004502F4"/>
    <w:rsid w:val="00452CF5"/>
    <w:rsid w:val="00463A87"/>
    <w:rsid w:val="00487F80"/>
    <w:rsid w:val="004A01A5"/>
    <w:rsid w:val="004A22D0"/>
    <w:rsid w:val="004D6CC0"/>
    <w:rsid w:val="004E363D"/>
    <w:rsid w:val="004F1F15"/>
    <w:rsid w:val="004F23D4"/>
    <w:rsid w:val="005111BC"/>
    <w:rsid w:val="00515F09"/>
    <w:rsid w:val="005331E9"/>
    <w:rsid w:val="005433E7"/>
    <w:rsid w:val="005712CB"/>
    <w:rsid w:val="00577CBB"/>
    <w:rsid w:val="005A49B9"/>
    <w:rsid w:val="005B3AB2"/>
    <w:rsid w:val="005B4F18"/>
    <w:rsid w:val="005C3668"/>
    <w:rsid w:val="005D03FE"/>
    <w:rsid w:val="005D2E16"/>
    <w:rsid w:val="005E7D3F"/>
    <w:rsid w:val="005F7FC6"/>
    <w:rsid w:val="0060613D"/>
    <w:rsid w:val="00613790"/>
    <w:rsid w:val="00615D49"/>
    <w:rsid w:val="006412D7"/>
    <w:rsid w:val="00644FB5"/>
    <w:rsid w:val="00651F4C"/>
    <w:rsid w:val="00662769"/>
    <w:rsid w:val="00683AED"/>
    <w:rsid w:val="00695950"/>
    <w:rsid w:val="00695D72"/>
    <w:rsid w:val="006B197C"/>
    <w:rsid w:val="006B29CA"/>
    <w:rsid w:val="006B2B65"/>
    <w:rsid w:val="006C1077"/>
    <w:rsid w:val="006C1E14"/>
    <w:rsid w:val="006C5D79"/>
    <w:rsid w:val="006D09DF"/>
    <w:rsid w:val="006D33D8"/>
    <w:rsid w:val="006D7E73"/>
    <w:rsid w:val="006E36D5"/>
    <w:rsid w:val="006F165C"/>
    <w:rsid w:val="007014FC"/>
    <w:rsid w:val="00704271"/>
    <w:rsid w:val="0070577A"/>
    <w:rsid w:val="007134BF"/>
    <w:rsid w:val="00730D6E"/>
    <w:rsid w:val="007507C1"/>
    <w:rsid w:val="007734A6"/>
    <w:rsid w:val="007902F4"/>
    <w:rsid w:val="00794177"/>
    <w:rsid w:val="00802A0A"/>
    <w:rsid w:val="00803388"/>
    <w:rsid w:val="00813FAD"/>
    <w:rsid w:val="00817B01"/>
    <w:rsid w:val="00822D3F"/>
    <w:rsid w:val="00831ED0"/>
    <w:rsid w:val="0083330B"/>
    <w:rsid w:val="00855EF2"/>
    <w:rsid w:val="00866E04"/>
    <w:rsid w:val="00867EC2"/>
    <w:rsid w:val="00891BAD"/>
    <w:rsid w:val="00893296"/>
    <w:rsid w:val="008935D4"/>
    <w:rsid w:val="00893EC1"/>
    <w:rsid w:val="008B050D"/>
    <w:rsid w:val="008B282E"/>
    <w:rsid w:val="008C473B"/>
    <w:rsid w:val="008E182A"/>
    <w:rsid w:val="008E57CC"/>
    <w:rsid w:val="008F6AB5"/>
    <w:rsid w:val="0090509B"/>
    <w:rsid w:val="00907D4E"/>
    <w:rsid w:val="00933FA5"/>
    <w:rsid w:val="00955A3F"/>
    <w:rsid w:val="00961C50"/>
    <w:rsid w:val="009626AA"/>
    <w:rsid w:val="00965CA7"/>
    <w:rsid w:val="00990D42"/>
    <w:rsid w:val="009E123A"/>
    <w:rsid w:val="009E210A"/>
    <w:rsid w:val="009F2B75"/>
    <w:rsid w:val="00A267F9"/>
    <w:rsid w:val="00A3702D"/>
    <w:rsid w:val="00A45784"/>
    <w:rsid w:val="00A47C97"/>
    <w:rsid w:val="00A57867"/>
    <w:rsid w:val="00A61011"/>
    <w:rsid w:val="00A66838"/>
    <w:rsid w:val="00A803BB"/>
    <w:rsid w:val="00A84782"/>
    <w:rsid w:val="00A86141"/>
    <w:rsid w:val="00AA10D4"/>
    <w:rsid w:val="00AA5774"/>
    <w:rsid w:val="00AB6F9F"/>
    <w:rsid w:val="00AC7ABF"/>
    <w:rsid w:val="00AD0DA5"/>
    <w:rsid w:val="00AE5822"/>
    <w:rsid w:val="00B0355E"/>
    <w:rsid w:val="00B07E79"/>
    <w:rsid w:val="00B31A8D"/>
    <w:rsid w:val="00B37E5C"/>
    <w:rsid w:val="00B47F4C"/>
    <w:rsid w:val="00B562A7"/>
    <w:rsid w:val="00B825D8"/>
    <w:rsid w:val="00B93CE6"/>
    <w:rsid w:val="00B959E7"/>
    <w:rsid w:val="00BB065F"/>
    <w:rsid w:val="00BB5F62"/>
    <w:rsid w:val="00BD1A83"/>
    <w:rsid w:val="00BF2501"/>
    <w:rsid w:val="00BF68F7"/>
    <w:rsid w:val="00C1430A"/>
    <w:rsid w:val="00C14435"/>
    <w:rsid w:val="00C3348C"/>
    <w:rsid w:val="00C35333"/>
    <w:rsid w:val="00C4428C"/>
    <w:rsid w:val="00C9411D"/>
    <w:rsid w:val="00C948D1"/>
    <w:rsid w:val="00CA24CA"/>
    <w:rsid w:val="00CC65AD"/>
    <w:rsid w:val="00CD5891"/>
    <w:rsid w:val="00CD6EAB"/>
    <w:rsid w:val="00CE1F4F"/>
    <w:rsid w:val="00CE3374"/>
    <w:rsid w:val="00CF40EA"/>
    <w:rsid w:val="00D04CBB"/>
    <w:rsid w:val="00D21B8D"/>
    <w:rsid w:val="00D26D15"/>
    <w:rsid w:val="00D37C75"/>
    <w:rsid w:val="00D45281"/>
    <w:rsid w:val="00D45300"/>
    <w:rsid w:val="00D53DC4"/>
    <w:rsid w:val="00D773FE"/>
    <w:rsid w:val="00D90214"/>
    <w:rsid w:val="00D90BC6"/>
    <w:rsid w:val="00DB50BC"/>
    <w:rsid w:val="00E003D0"/>
    <w:rsid w:val="00E025CD"/>
    <w:rsid w:val="00E05034"/>
    <w:rsid w:val="00E05DAC"/>
    <w:rsid w:val="00E13E1C"/>
    <w:rsid w:val="00E220DE"/>
    <w:rsid w:val="00E40DCB"/>
    <w:rsid w:val="00E73DAA"/>
    <w:rsid w:val="00E74755"/>
    <w:rsid w:val="00E9529E"/>
    <w:rsid w:val="00E96688"/>
    <w:rsid w:val="00E96761"/>
    <w:rsid w:val="00EA6444"/>
    <w:rsid w:val="00EB7FBA"/>
    <w:rsid w:val="00EF6E03"/>
    <w:rsid w:val="00F032CF"/>
    <w:rsid w:val="00F03FA2"/>
    <w:rsid w:val="00F07EAF"/>
    <w:rsid w:val="00F12BEE"/>
    <w:rsid w:val="00F13AFE"/>
    <w:rsid w:val="00F551C7"/>
    <w:rsid w:val="00F5739B"/>
    <w:rsid w:val="00F632C3"/>
    <w:rsid w:val="00F86A04"/>
    <w:rsid w:val="00F91D7D"/>
    <w:rsid w:val="00FA2B97"/>
    <w:rsid w:val="00FA381C"/>
    <w:rsid w:val="00FA5496"/>
    <w:rsid w:val="00FC08A7"/>
    <w:rsid w:val="00FD5CB7"/>
    <w:rsid w:val="00FE5ACA"/>
    <w:rsid w:val="00FF1000"/>
    <w:rsid w:val="00FF51D5"/>
    <w:rsid w:val="05D6496E"/>
    <w:rsid w:val="064415F4"/>
    <w:rsid w:val="077C1812"/>
    <w:rsid w:val="09537971"/>
    <w:rsid w:val="0B634768"/>
    <w:rsid w:val="0C300E1D"/>
    <w:rsid w:val="0D2766C4"/>
    <w:rsid w:val="123478B9"/>
    <w:rsid w:val="14592CC2"/>
    <w:rsid w:val="15284EB3"/>
    <w:rsid w:val="18F55681"/>
    <w:rsid w:val="1B85414C"/>
    <w:rsid w:val="1BC53555"/>
    <w:rsid w:val="1F5965C2"/>
    <w:rsid w:val="215D04AF"/>
    <w:rsid w:val="243F38C6"/>
    <w:rsid w:val="247D7B99"/>
    <w:rsid w:val="263162FA"/>
    <w:rsid w:val="28081174"/>
    <w:rsid w:val="28D63923"/>
    <w:rsid w:val="2A980C0D"/>
    <w:rsid w:val="2FEB0531"/>
    <w:rsid w:val="2FF16992"/>
    <w:rsid w:val="3509498C"/>
    <w:rsid w:val="35F634EB"/>
    <w:rsid w:val="368E7B14"/>
    <w:rsid w:val="37AC1770"/>
    <w:rsid w:val="389D76B7"/>
    <w:rsid w:val="38B60778"/>
    <w:rsid w:val="39643D30"/>
    <w:rsid w:val="3AD9074E"/>
    <w:rsid w:val="3C0B0DDB"/>
    <w:rsid w:val="40526FD9"/>
    <w:rsid w:val="41F63994"/>
    <w:rsid w:val="421B789E"/>
    <w:rsid w:val="447F2366"/>
    <w:rsid w:val="45F4493C"/>
    <w:rsid w:val="46FD1503"/>
    <w:rsid w:val="47940852"/>
    <w:rsid w:val="47B40579"/>
    <w:rsid w:val="48F105EB"/>
    <w:rsid w:val="4A7364C9"/>
    <w:rsid w:val="4ACE3700"/>
    <w:rsid w:val="4CE511D4"/>
    <w:rsid w:val="4FE0665B"/>
    <w:rsid w:val="50BE4216"/>
    <w:rsid w:val="52962FA3"/>
    <w:rsid w:val="532546F6"/>
    <w:rsid w:val="535A355B"/>
    <w:rsid w:val="556C2493"/>
    <w:rsid w:val="58E803E0"/>
    <w:rsid w:val="59B9557B"/>
    <w:rsid w:val="5A2C21F1"/>
    <w:rsid w:val="5B70610D"/>
    <w:rsid w:val="5FAD5B82"/>
    <w:rsid w:val="619F78E4"/>
    <w:rsid w:val="61BC60E8"/>
    <w:rsid w:val="625413F1"/>
    <w:rsid w:val="65336B29"/>
    <w:rsid w:val="67277FC8"/>
    <w:rsid w:val="6AEF34F2"/>
    <w:rsid w:val="6C5A0E3F"/>
    <w:rsid w:val="6CFA1CDB"/>
    <w:rsid w:val="6D2B363A"/>
    <w:rsid w:val="6D8C181E"/>
    <w:rsid w:val="71922E29"/>
    <w:rsid w:val="71A52B5D"/>
    <w:rsid w:val="72F571CC"/>
    <w:rsid w:val="77356731"/>
    <w:rsid w:val="7D812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99"/>
    <w:pPr>
      <w:jc w:val="left"/>
    </w:pPr>
  </w:style>
  <w:style w:type="paragraph" w:styleId="3">
    <w:name w:val="Balloon Text"/>
    <w:basedOn w:val="1"/>
    <w:link w:val="14"/>
    <w:autoRedefine/>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autoRedefine/>
    <w:semiHidden/>
    <w:unhideWhenUsed/>
    <w:qFormat/>
    <w:uiPriority w:val="99"/>
    <w:rPr>
      <w:b/>
      <w:bCs/>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autoRedefine/>
    <w:semiHidden/>
    <w:unhideWhenUsed/>
    <w:qFormat/>
    <w:uiPriority w:val="99"/>
    <w:rPr>
      <w:sz w:val="21"/>
      <w:szCs w:val="21"/>
    </w:rPr>
  </w:style>
  <w:style w:type="paragraph" w:customStyle="1" w:styleId="1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2">
    <w:name w:val="页眉 Char"/>
    <w:basedOn w:val="9"/>
    <w:link w:val="5"/>
    <w:autoRedefine/>
    <w:qFormat/>
    <w:uiPriority w:val="99"/>
    <w:rPr>
      <w:rFonts w:ascii="Times New Roman" w:hAnsi="Times New Roman" w:eastAsia="宋体" w:cs="Times New Roman"/>
      <w:sz w:val="18"/>
      <w:szCs w:val="18"/>
    </w:rPr>
  </w:style>
  <w:style w:type="character" w:customStyle="1" w:styleId="13">
    <w:name w:val="页脚 Char"/>
    <w:basedOn w:val="9"/>
    <w:link w:val="4"/>
    <w:autoRedefine/>
    <w:qFormat/>
    <w:uiPriority w:val="99"/>
    <w:rPr>
      <w:rFonts w:ascii="Times New Roman" w:hAnsi="Times New Roman" w:eastAsia="宋体" w:cs="Times New Roman"/>
      <w:sz w:val="18"/>
      <w:szCs w:val="18"/>
    </w:rPr>
  </w:style>
  <w:style w:type="character" w:customStyle="1" w:styleId="14">
    <w:name w:val="批注框文本 Char"/>
    <w:basedOn w:val="9"/>
    <w:link w:val="3"/>
    <w:autoRedefine/>
    <w:semiHidden/>
    <w:qFormat/>
    <w:uiPriority w:val="99"/>
    <w:rPr>
      <w:rFonts w:ascii="Times New Roman" w:hAnsi="Times New Roman" w:eastAsia="宋体" w:cs="Times New Roman"/>
      <w:sz w:val="18"/>
      <w:szCs w:val="18"/>
    </w:rPr>
  </w:style>
  <w:style w:type="paragraph" w:styleId="15">
    <w:name w:val="List Paragraph"/>
    <w:basedOn w:val="1"/>
    <w:autoRedefine/>
    <w:qFormat/>
    <w:uiPriority w:val="1"/>
    <w:pPr>
      <w:ind w:left="220" w:firstLine="599"/>
    </w:pPr>
    <w:rPr>
      <w:rFonts w:ascii="宋体" w:hAnsi="宋体" w:cs="宋体"/>
      <w:lang w:val="zh-CN" w:bidi="zh-CN"/>
    </w:rPr>
  </w:style>
  <w:style w:type="table" w:customStyle="1" w:styleId="16">
    <w:name w:val="网格型1"/>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批注文字 Char"/>
    <w:basedOn w:val="9"/>
    <w:link w:val="2"/>
    <w:autoRedefine/>
    <w:semiHidden/>
    <w:qFormat/>
    <w:uiPriority w:val="99"/>
    <w:rPr>
      <w:kern w:val="2"/>
      <w:sz w:val="21"/>
      <w:szCs w:val="24"/>
    </w:rPr>
  </w:style>
  <w:style w:type="character" w:customStyle="1" w:styleId="18">
    <w:name w:val="批注主题 Char"/>
    <w:basedOn w:val="17"/>
    <w:link w:val="6"/>
    <w:autoRedefine/>
    <w:semiHidden/>
    <w:qFormat/>
    <w:uiPriority w:val="99"/>
    <w:rPr>
      <w:b/>
      <w:bCs/>
      <w:kern w:val="2"/>
      <w:sz w:val="21"/>
      <w:szCs w:val="24"/>
    </w:rPr>
  </w:style>
  <w:style w:type="paragraph" w:customStyle="1" w:styleId="19">
    <w:name w:val="修订1"/>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493</Words>
  <Characters>2814</Characters>
  <Lines>23</Lines>
  <Paragraphs>6</Paragraphs>
  <TotalTime>2</TotalTime>
  <ScaleCrop>false</ScaleCrop>
  <LinksUpToDate>false</LinksUpToDate>
  <CharactersWithSpaces>3301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2024-04-11T03:11:00Z</dcterms:created>
  <dc:creator>李锐</dc:creator>
  <cp:lastModifiedBy>王雅杰</cp:lastModifiedBy>
  <dcterms:modified xsi:type="dcterms:W3CDTF">2024-04-24T05:07:51Z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9B0EE80910A547FCB9161BB39683E911_12</vt:lpwstr>
  </property>
</Properties>
</file>