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ind w:right="-153" w:rightChars="-73"/>
        <w:jc w:val="center"/>
        <w:rPr>
          <w:rFonts w:hint="default" w:ascii="黑体" w:hAnsi="宋体" w:eastAsia="宋体"/>
          <w:b/>
          <w:bCs/>
          <w:color w:val="FF0000"/>
          <w:sz w:val="32"/>
          <w:lang w:val="en-US" w:eastAsia="zh-CN"/>
        </w:rPr>
      </w:pPr>
      <w:r>
        <w:rPr>
          <w:rFonts w:hint="eastAsia" w:ascii="宋体" w:hAnsi="宋体" w:cs="宋体"/>
          <w:color w:val="000000"/>
          <w:kern w:val="0"/>
          <w:sz w:val="24"/>
        </w:rPr>
        <w:t xml:space="preserve">证券代码：600200       证券简称：江苏吴中    </w:t>
      </w:r>
      <w:r>
        <w:rPr>
          <w:rFonts w:hint="eastAsia" w:ascii="宋体" w:hAnsi="宋体" w:cs="宋体"/>
          <w:color w:val="000000"/>
          <w:kern w:val="0"/>
          <w:sz w:val="24"/>
          <w:lang w:val="en-US" w:eastAsia="zh-CN"/>
        </w:rPr>
        <w:t xml:space="preserve"> </w:t>
      </w:r>
      <w:r>
        <w:rPr>
          <w:rFonts w:hint="eastAsia" w:ascii="宋体" w:hAnsi="宋体" w:cs="宋体"/>
          <w:color w:val="000000"/>
          <w:kern w:val="0"/>
          <w:sz w:val="24"/>
        </w:rPr>
        <w:t xml:space="preserve">  公告编号：临202</w:t>
      </w:r>
      <w:r>
        <w:rPr>
          <w:rFonts w:hint="eastAsia" w:ascii="宋体" w:hAnsi="宋体" w:cs="宋体"/>
          <w:color w:val="000000"/>
          <w:kern w:val="0"/>
          <w:sz w:val="24"/>
          <w:lang w:val="en-US" w:eastAsia="zh-CN"/>
        </w:rPr>
        <w:t>4</w:t>
      </w:r>
      <w:r>
        <w:rPr>
          <w:rFonts w:hint="eastAsia" w:ascii="宋体" w:hAnsi="宋体" w:cs="宋体"/>
          <w:color w:val="000000"/>
          <w:kern w:val="0"/>
          <w:sz w:val="24"/>
        </w:rPr>
        <w:t>-</w:t>
      </w:r>
      <w:r>
        <w:rPr>
          <w:rFonts w:hint="eastAsia" w:ascii="宋体" w:hAnsi="宋体" w:cs="宋体"/>
          <w:color w:val="000000"/>
          <w:kern w:val="0"/>
          <w:sz w:val="24"/>
          <w:lang w:val="en-US" w:eastAsia="zh-CN"/>
        </w:rPr>
        <w:t>030</w:t>
      </w:r>
    </w:p>
    <w:p>
      <w:pPr>
        <w:spacing w:line="360" w:lineRule="auto"/>
        <w:ind w:right="-153" w:rightChars="-73"/>
        <w:jc w:val="center"/>
        <w:rPr>
          <w:rFonts w:ascii="黑体" w:hAnsi="宋体" w:eastAsia="黑体"/>
          <w:b/>
          <w:bCs/>
          <w:color w:val="FF0000"/>
          <w:sz w:val="32"/>
        </w:rPr>
      </w:pPr>
    </w:p>
    <w:p>
      <w:pPr>
        <w:spacing w:line="360" w:lineRule="auto"/>
        <w:ind w:right="-153" w:rightChars="-73"/>
        <w:jc w:val="center"/>
        <w:rPr>
          <w:rFonts w:ascii="黑体" w:hAnsi="宋体" w:eastAsia="黑体"/>
          <w:b/>
          <w:bCs/>
          <w:color w:val="FF0000"/>
          <w:sz w:val="32"/>
        </w:rPr>
      </w:pPr>
      <w:r>
        <w:rPr>
          <w:rFonts w:hint="eastAsia" w:ascii="黑体" w:hAnsi="宋体" w:eastAsia="黑体"/>
          <w:b/>
          <w:bCs/>
          <w:color w:val="FF0000"/>
          <w:sz w:val="32"/>
        </w:rPr>
        <w:t>江苏吴中医药发展股份有限公司关于非公开发行</w:t>
      </w:r>
    </w:p>
    <w:p>
      <w:pPr>
        <w:spacing w:line="360" w:lineRule="auto"/>
        <w:ind w:right="-153" w:rightChars="-73"/>
        <w:jc w:val="center"/>
        <w:rPr>
          <w:rFonts w:ascii="黑体" w:hAnsi="宋体" w:eastAsia="黑体"/>
          <w:b/>
          <w:bCs/>
          <w:color w:val="FF0000"/>
          <w:sz w:val="32"/>
        </w:rPr>
      </w:pPr>
      <w:r>
        <w:rPr>
          <w:rFonts w:hint="eastAsia" w:ascii="黑体" w:hAnsi="宋体" w:eastAsia="黑体"/>
          <w:b/>
          <w:bCs/>
          <w:color w:val="FF0000"/>
          <w:sz w:val="32"/>
        </w:rPr>
        <w:t>募集资金202</w:t>
      </w:r>
      <w:r>
        <w:rPr>
          <w:rFonts w:hint="eastAsia" w:ascii="黑体" w:hAnsi="宋体" w:eastAsia="黑体"/>
          <w:b/>
          <w:bCs/>
          <w:color w:val="FF0000"/>
          <w:sz w:val="32"/>
          <w:lang w:val="en-US" w:eastAsia="zh-CN"/>
        </w:rPr>
        <w:t>3</w:t>
      </w:r>
      <w:r>
        <w:rPr>
          <w:rFonts w:hint="eastAsia" w:ascii="黑体" w:hAnsi="宋体" w:eastAsia="黑体"/>
          <w:b/>
          <w:bCs/>
          <w:color w:val="FF0000"/>
          <w:sz w:val="32"/>
        </w:rPr>
        <w:t>年</w:t>
      </w:r>
      <w:r>
        <w:rPr>
          <w:rFonts w:hint="eastAsia" w:ascii="黑体" w:hAnsi="宋体" w:eastAsia="黑体"/>
          <w:b/>
          <w:bCs/>
          <w:color w:val="FF0000"/>
          <w:sz w:val="32"/>
          <w:lang w:val="en-US" w:eastAsia="zh-CN"/>
        </w:rPr>
        <w:t>度</w:t>
      </w:r>
      <w:r>
        <w:rPr>
          <w:rFonts w:hint="eastAsia" w:ascii="黑体" w:hAnsi="宋体" w:eastAsia="黑体"/>
          <w:b/>
          <w:bCs/>
          <w:color w:val="FF0000"/>
          <w:sz w:val="32"/>
        </w:rPr>
        <w:t>存放与实际使用情况的专项报告</w:t>
      </w:r>
    </w:p>
    <w:p>
      <w:pPr>
        <w:autoSpaceDE w:val="0"/>
        <w:autoSpaceDN w:val="0"/>
        <w:adjustRightInd w:val="0"/>
        <w:spacing w:line="360" w:lineRule="auto"/>
        <w:ind w:firstLine="482" w:firstLineChars="200"/>
        <w:rPr>
          <w:rFonts w:hint="eastAsia" w:ascii="ˎ̥" w:hAnsi="ˎ̥"/>
          <w:b/>
          <w:sz w:val="24"/>
        </w:rPr>
      </w:pPr>
    </w:p>
    <w:p>
      <w:pPr>
        <w:autoSpaceDE w:val="0"/>
        <w:autoSpaceDN w:val="0"/>
        <w:adjustRightInd w:val="0"/>
        <w:spacing w:line="360" w:lineRule="auto"/>
        <w:ind w:firstLine="482" w:firstLineChars="200"/>
        <w:rPr>
          <w:rFonts w:asciiTheme="minorEastAsia" w:hAnsiTheme="minorEastAsia" w:eastAsiaTheme="minorEastAsia" w:cstheme="minorEastAsia"/>
          <w:b/>
          <w:sz w:val="24"/>
        </w:rPr>
      </w:pPr>
      <w:r>
        <w:rPr>
          <w:rFonts w:hint="eastAsia" w:asciiTheme="minorEastAsia" w:hAnsiTheme="minorEastAsia" w:eastAsiaTheme="minorEastAsia" w:cstheme="minorEastAsia"/>
          <w:b/>
          <w:sz w:val="24"/>
        </w:rPr>
        <w:t>本公司董事会及董事会全体成员保证公告内容不存在虚假记载、误导性陈述或者重大遗漏，并对其内容的真实、准确和完整承担法律责任。</w:t>
      </w:r>
    </w:p>
    <w:p>
      <w:pPr>
        <w:pStyle w:val="10"/>
        <w:spacing w:line="360" w:lineRule="auto"/>
        <w:rPr>
          <w:rFonts w:asciiTheme="minorEastAsia" w:hAnsiTheme="minorEastAsia" w:eastAsiaTheme="minorEastAsia" w:cstheme="minorEastAsia"/>
        </w:rPr>
      </w:pPr>
    </w:p>
    <w:p>
      <w:pPr>
        <w:spacing w:line="460" w:lineRule="exact"/>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根</w:t>
      </w:r>
      <w:r>
        <w:rPr>
          <w:rFonts w:hint="eastAsia" w:asciiTheme="minorEastAsia" w:hAnsiTheme="minorEastAsia" w:eastAsiaTheme="minorEastAsia" w:cstheme="minorEastAsia"/>
          <w:color w:val="000000"/>
          <w:sz w:val="24"/>
        </w:rPr>
        <w:t>据《上海证券交易所上市公司自律监管指引第1号——规范运作》及相关格式指引的要求，现将本公司非公开发行募集资金202</w:t>
      </w:r>
      <w:r>
        <w:rPr>
          <w:rFonts w:hint="eastAsia" w:asciiTheme="minorEastAsia" w:hAnsiTheme="minorEastAsia" w:eastAsiaTheme="minorEastAsia" w:cstheme="minorEastAsia"/>
          <w:color w:val="000000"/>
          <w:sz w:val="24"/>
          <w:lang w:val="en-US" w:eastAsia="zh-CN"/>
        </w:rPr>
        <w:t>3</w:t>
      </w:r>
      <w:r>
        <w:rPr>
          <w:rFonts w:hint="eastAsia" w:asciiTheme="minorEastAsia" w:hAnsiTheme="minorEastAsia" w:eastAsiaTheme="minorEastAsia" w:cstheme="minorEastAsia"/>
          <w:color w:val="000000"/>
          <w:sz w:val="24"/>
        </w:rPr>
        <w:t>年度存放与实际使用情况专项报告如下：</w:t>
      </w:r>
    </w:p>
    <w:p>
      <w:pPr>
        <w:autoSpaceDE w:val="0"/>
        <w:autoSpaceDN w:val="0"/>
        <w:adjustRightInd w:val="0"/>
        <w:spacing w:line="360" w:lineRule="auto"/>
        <w:ind w:firstLine="482" w:firstLineChars="200"/>
        <w:rPr>
          <w:rFonts w:asciiTheme="minorEastAsia" w:hAnsiTheme="minorEastAsia" w:eastAsiaTheme="minorEastAsia" w:cstheme="minorEastAsia"/>
          <w:b/>
          <w:kern w:val="2"/>
          <w:sz w:val="24"/>
        </w:rPr>
      </w:pPr>
    </w:p>
    <w:p>
      <w:pPr>
        <w:keepNext/>
        <w:keepLines/>
        <w:spacing w:line="360" w:lineRule="auto"/>
        <w:ind w:firstLine="482" w:firstLineChars="200"/>
        <w:outlineLvl w:val="0"/>
        <w:rPr>
          <w:rFonts w:asciiTheme="minorEastAsia" w:hAnsiTheme="minorEastAsia" w:eastAsiaTheme="minorEastAsia" w:cstheme="minorEastAsia"/>
          <w:b/>
          <w:bCs/>
          <w:kern w:val="2"/>
          <w:sz w:val="24"/>
        </w:rPr>
      </w:pPr>
      <w:r>
        <w:rPr>
          <w:rFonts w:hint="eastAsia" w:asciiTheme="minorEastAsia" w:hAnsiTheme="minorEastAsia" w:eastAsiaTheme="minorEastAsia" w:cstheme="minorEastAsia"/>
          <w:b/>
          <w:bCs/>
          <w:kern w:val="2"/>
          <w:sz w:val="24"/>
        </w:rPr>
        <w:t>一、募集资金基本情况</w:t>
      </w:r>
    </w:p>
    <w:p>
      <w:pPr>
        <w:keepNext/>
        <w:keepLines/>
        <w:spacing w:line="360" w:lineRule="auto"/>
        <w:ind w:firstLine="482" w:firstLineChars="200"/>
        <w:outlineLvl w:val="1"/>
        <w:rPr>
          <w:rFonts w:asciiTheme="minorEastAsia" w:hAnsiTheme="minorEastAsia" w:eastAsiaTheme="minorEastAsia" w:cstheme="minorEastAsia"/>
          <w:b/>
          <w:bCs/>
          <w:kern w:val="2"/>
          <w:sz w:val="24"/>
        </w:rPr>
      </w:pPr>
      <w:r>
        <w:rPr>
          <w:rFonts w:hint="eastAsia" w:asciiTheme="minorEastAsia" w:hAnsiTheme="minorEastAsia" w:eastAsiaTheme="minorEastAsia" w:cstheme="minorEastAsia"/>
          <w:b/>
          <w:bCs/>
          <w:kern w:val="2"/>
          <w:sz w:val="24"/>
        </w:rPr>
        <w:t>(一)实际募集资金金额、资金到账时间</w:t>
      </w:r>
    </w:p>
    <w:p>
      <w:pPr>
        <w:autoSpaceDE w:val="0"/>
        <w:autoSpaceDN w:val="0"/>
        <w:adjustRightInd w:val="0"/>
        <w:spacing w:line="360" w:lineRule="auto"/>
        <w:ind w:firstLine="480" w:firstLineChars="200"/>
        <w:rPr>
          <w:rFonts w:hint="eastAsia" w:asciiTheme="minorEastAsia" w:hAnsiTheme="minorEastAsia" w:eastAsiaTheme="minorEastAsia" w:cstheme="minorEastAsia"/>
          <w:kern w:val="2"/>
          <w:sz w:val="24"/>
        </w:rPr>
      </w:pPr>
      <w:r>
        <w:rPr>
          <w:rFonts w:hint="eastAsia" w:asciiTheme="minorEastAsia" w:hAnsiTheme="minorEastAsia" w:eastAsiaTheme="minorEastAsia" w:cstheme="minorEastAsia"/>
          <w:kern w:val="2"/>
          <w:sz w:val="24"/>
        </w:rPr>
        <w:t>经中国证券监督管理委员会《关于核准江苏吴中实业股份有限公司非公开发行股票的批复》(证监许可[2015]2084号)核准，本公司获准非公开发行不超过4,538万股新股(以下简称“本次发行”)。本次发行实际发行数量为41,046,070股，发行对象为6名，发行价格为12.52元/股，募集资金总额513,896,796.40元(含发行费用)。扣除发行费用合计人民币11,519,544.24元后，本次募集资金净额为人民币502,377,252.16元，上述募集资金已于2015年9月29日划至公司指定账户。上述募集资金到位情况经立信会计师事务所(特殊普通合伙)审验，并由其于2015年9月30日出具了《验资报告》(信会师报字[2015]第115325号)验证。</w:t>
      </w:r>
    </w:p>
    <w:p>
      <w:pPr>
        <w:keepNext/>
        <w:keepLines/>
        <w:spacing w:line="360" w:lineRule="auto"/>
        <w:ind w:firstLine="482" w:firstLineChars="200"/>
        <w:outlineLvl w:val="1"/>
        <w:rPr>
          <w:rFonts w:asciiTheme="minorEastAsia" w:hAnsiTheme="minorEastAsia" w:eastAsiaTheme="minorEastAsia" w:cstheme="minorEastAsia"/>
          <w:b/>
          <w:bCs/>
          <w:kern w:val="2"/>
          <w:sz w:val="24"/>
          <w:highlight w:val="none"/>
        </w:rPr>
      </w:pPr>
      <w:r>
        <w:rPr>
          <w:rFonts w:hint="eastAsia" w:asciiTheme="minorEastAsia" w:hAnsiTheme="minorEastAsia" w:eastAsiaTheme="minorEastAsia" w:cstheme="minorEastAsia"/>
          <w:b/>
          <w:bCs/>
          <w:kern w:val="2"/>
          <w:sz w:val="24"/>
          <w:highlight w:val="none"/>
        </w:rPr>
        <w:t>(二)募集金额使用情况和结余情况</w:t>
      </w:r>
    </w:p>
    <w:p>
      <w:pPr>
        <w:autoSpaceDE w:val="0"/>
        <w:autoSpaceDN w:val="0"/>
        <w:adjustRightInd w:val="0"/>
        <w:spacing w:line="360" w:lineRule="auto"/>
        <w:ind w:firstLine="480" w:firstLineChars="200"/>
        <w:rPr>
          <w:rFonts w:hint="eastAsia" w:asciiTheme="minorEastAsia" w:hAnsiTheme="minorEastAsia" w:eastAsiaTheme="minorEastAsia" w:cstheme="minorEastAsia"/>
          <w:kern w:val="2"/>
          <w:sz w:val="24"/>
        </w:rPr>
      </w:pPr>
      <w:r>
        <w:rPr>
          <w:rFonts w:hint="eastAsia" w:asciiTheme="minorEastAsia" w:hAnsiTheme="minorEastAsia" w:eastAsiaTheme="minorEastAsia" w:cstheme="minorEastAsia"/>
          <w:kern w:val="2"/>
          <w:sz w:val="24"/>
        </w:rPr>
        <w:t>2015年度公司使用募集资金155,016,482.59元，2016年度公司使用募集资金95,989,632.36元，2017年度公司使用募集资金57,198,274.13元，2018年度公司使用募集资金34,233,833.35元，2019年度使用募集资金48,861,522.03元，2020年度使用募集资金21,956,213.55元，2021年度使用募集资金72,409,807.54元，2022年公司使用募集资金3,909,800.79元，2023年度公司使用募集资金3,797,900.52元，截至2023年12月31日，公司累计使用募集资金493,373,466.86元，未使用募集资金余额为29,125,689.28元（含利息收入和扣减手续费）。</w:t>
      </w:r>
    </w:p>
    <w:p>
      <w:pPr>
        <w:spacing w:line="360" w:lineRule="auto"/>
        <w:ind w:firstLine="482" w:firstLineChars="200"/>
        <w:rPr>
          <w:rFonts w:asciiTheme="minorEastAsia" w:hAnsiTheme="minorEastAsia" w:eastAsiaTheme="minorEastAsia" w:cstheme="minorEastAsia"/>
          <w:b/>
          <w:bCs/>
          <w:kern w:val="2"/>
          <w:sz w:val="24"/>
          <w:highlight w:val="none"/>
        </w:rPr>
      </w:pPr>
      <w:r>
        <w:rPr>
          <w:rFonts w:hint="eastAsia" w:asciiTheme="minorEastAsia" w:hAnsiTheme="minorEastAsia" w:eastAsiaTheme="minorEastAsia" w:cstheme="minorEastAsia"/>
          <w:b/>
          <w:bCs/>
          <w:kern w:val="2"/>
          <w:sz w:val="24"/>
          <w:highlight w:val="none"/>
        </w:rPr>
        <w:t>二、募集资金管理情况</w:t>
      </w:r>
    </w:p>
    <w:p>
      <w:pPr>
        <w:keepNext/>
        <w:keepLines/>
        <w:spacing w:line="360" w:lineRule="auto"/>
        <w:ind w:firstLine="482" w:firstLineChars="200"/>
        <w:outlineLvl w:val="1"/>
        <w:rPr>
          <w:rFonts w:asciiTheme="minorEastAsia" w:hAnsiTheme="minorEastAsia" w:eastAsiaTheme="minorEastAsia" w:cstheme="minorEastAsia"/>
          <w:b/>
          <w:bCs/>
          <w:kern w:val="2"/>
          <w:sz w:val="24"/>
          <w:highlight w:val="none"/>
        </w:rPr>
      </w:pPr>
      <w:r>
        <w:rPr>
          <w:rFonts w:hint="eastAsia" w:asciiTheme="minorEastAsia" w:hAnsiTheme="minorEastAsia" w:eastAsiaTheme="minorEastAsia" w:cstheme="minorEastAsia"/>
          <w:b/>
          <w:bCs/>
          <w:kern w:val="2"/>
          <w:sz w:val="24"/>
          <w:highlight w:val="none"/>
        </w:rPr>
        <w:t>(一)募集资金的管理情况</w:t>
      </w:r>
    </w:p>
    <w:p>
      <w:pPr>
        <w:autoSpaceDE w:val="0"/>
        <w:autoSpaceDN w:val="0"/>
        <w:adjustRightInd w:val="0"/>
        <w:spacing w:line="360" w:lineRule="auto"/>
        <w:ind w:firstLine="480" w:firstLineChars="200"/>
        <w:rPr>
          <w:rFonts w:hint="eastAsia" w:asciiTheme="minorEastAsia" w:hAnsiTheme="minorEastAsia" w:eastAsiaTheme="minorEastAsia" w:cstheme="minorEastAsia"/>
          <w:kern w:val="2"/>
          <w:sz w:val="24"/>
        </w:rPr>
      </w:pPr>
      <w:bookmarkStart w:id="0" w:name="OLE_LINK1"/>
      <w:bookmarkStart w:id="1" w:name="OLE_LINK2"/>
      <w:r>
        <w:rPr>
          <w:rFonts w:hint="eastAsia" w:asciiTheme="minorEastAsia" w:hAnsiTheme="minorEastAsia" w:eastAsiaTheme="minorEastAsia" w:cstheme="minorEastAsia"/>
          <w:kern w:val="2"/>
          <w:sz w:val="24"/>
        </w:rPr>
        <w:t>为规范募集资金的管理和使用，提高资金使用效率和效益，保护投资者利益，本公司根据《公司法》《证券法》《上市公司监管指引第2号——上市公司募集资金管理和使用的监管要求(2022年修订)》《上海证券交易所股票上市规则(2022年1月修订)》等有关法律、法规和规范性文件的规定，结合公司实际情况，公司制定了《江苏吴中实业股份有限公司募集资金管理办法（2014年修订）》(以下简称《管理办法》)，并提交公司2014年12月15日召开的2014年第二次临时股东大会审议通过。根据《管理办法》，本公司对募集资金采用专户存储制度，在银行设立募集资金专户，并连同下属公司、保荐机构东吴证券股份有限公司分别与中国农业银行股份有限公司苏州姑苏支行、中国银行股份有限公司苏州吴中支行、中国工商银行股份有限公司苏州吴中支行签订了《募集资金四方监管协议》，明确了各方的权利和义务。</w:t>
      </w:r>
    </w:p>
    <w:p>
      <w:pPr>
        <w:autoSpaceDE w:val="0"/>
        <w:autoSpaceDN w:val="0"/>
        <w:adjustRightInd w:val="0"/>
        <w:spacing w:line="360" w:lineRule="auto"/>
        <w:ind w:firstLine="480" w:firstLineChars="200"/>
        <w:rPr>
          <w:rFonts w:hint="eastAsia" w:asciiTheme="minorEastAsia" w:hAnsiTheme="minorEastAsia" w:eastAsiaTheme="minorEastAsia" w:cstheme="minorEastAsia"/>
          <w:kern w:val="2"/>
          <w:sz w:val="24"/>
        </w:rPr>
      </w:pPr>
      <w:r>
        <w:rPr>
          <w:rFonts w:hint="eastAsia" w:asciiTheme="minorEastAsia" w:hAnsiTheme="minorEastAsia" w:eastAsiaTheme="minorEastAsia" w:cstheme="minorEastAsia"/>
          <w:kern w:val="2"/>
          <w:sz w:val="24"/>
        </w:rPr>
        <w:t>经公司第八届董事会第十一次会议、第八届监事会第十一次会议及2016年度股东大会决议审议通过《江苏吴中实业股份有限公司关于变更部分募集资金投资项目的议案》，同意公司将原非公开发行的募集资金投资项目“药品自动化立体仓库项目”变更为“江苏吴中医药集团有限公司苏州制药厂原料药二期项目”(具体见公司于2017年4月28日及5月19日在《中国证券报》、《上海证券报》及上海证券交易所网站上披露的相关公告)。</w:t>
      </w:r>
    </w:p>
    <w:p>
      <w:pPr>
        <w:autoSpaceDE w:val="0"/>
        <w:autoSpaceDN w:val="0"/>
        <w:adjustRightInd w:val="0"/>
        <w:spacing w:line="360" w:lineRule="auto"/>
        <w:ind w:firstLine="480" w:firstLineChars="200"/>
        <w:rPr>
          <w:rFonts w:hint="eastAsia" w:asciiTheme="minorEastAsia" w:hAnsiTheme="minorEastAsia" w:eastAsiaTheme="minorEastAsia" w:cstheme="minorEastAsia"/>
          <w:kern w:val="2"/>
          <w:sz w:val="24"/>
        </w:rPr>
      </w:pPr>
      <w:r>
        <w:rPr>
          <w:rFonts w:hint="eastAsia" w:asciiTheme="minorEastAsia" w:hAnsiTheme="minorEastAsia" w:eastAsiaTheme="minorEastAsia" w:cstheme="minorEastAsia"/>
          <w:kern w:val="2"/>
          <w:sz w:val="24"/>
        </w:rPr>
        <w:t>2017年6月8日，本公司、东吴证券股份有限公司(以下简称“东吴证券”)、中国银行股份有限公司苏州吴中支行、江苏吴中医药集团有限公司苏州制药厂在苏州签订了募集资金专户存储四方监管协议(具体见公司于2017年6月9日在《中国证券报》《上海证券报》及上海证券交易所网站上披露的相关公告)。</w:t>
      </w:r>
    </w:p>
    <w:p>
      <w:pPr>
        <w:autoSpaceDE w:val="0"/>
        <w:autoSpaceDN w:val="0"/>
        <w:adjustRightInd w:val="0"/>
        <w:spacing w:line="360" w:lineRule="auto"/>
        <w:ind w:firstLine="480" w:firstLineChars="200"/>
        <w:rPr>
          <w:rFonts w:hint="eastAsia" w:asciiTheme="minorEastAsia" w:hAnsiTheme="minorEastAsia" w:eastAsiaTheme="minorEastAsia" w:cstheme="minorEastAsia"/>
          <w:kern w:val="2"/>
          <w:sz w:val="24"/>
        </w:rPr>
      </w:pPr>
      <w:r>
        <w:rPr>
          <w:rFonts w:hint="eastAsia" w:asciiTheme="minorEastAsia" w:hAnsiTheme="minorEastAsia" w:eastAsiaTheme="minorEastAsia" w:cstheme="minorEastAsia"/>
          <w:kern w:val="2"/>
          <w:sz w:val="24"/>
        </w:rPr>
        <w:t>经公司第九届董事会第六次会议、第九届监事会第六次会议及2019年第五次临时股东大会决议审议通过《江苏吴中实业股份有限公司关于变更部分募集资金投资项目的议案》，同意公司将原非公开发行的募集资金投资项目“国家一类生物抗癌新药重组人血管内皮抑素注射液研发项目”中部分未使用资金约12,055万元进行变更，变更后的募集资金投向为抗肿瘤1类新药YS001的研发、西洛他唑等上市化学仿制药的一致性评价、利奈唑胺与沃诺拉赞的仿制(具体见公司于2019年8月23日及9月11日在《中国证券报》《上海证券报》及上海证券交易所网站上披露的相关公告)。</w:t>
      </w:r>
    </w:p>
    <w:p>
      <w:pPr>
        <w:autoSpaceDE w:val="0"/>
        <w:autoSpaceDN w:val="0"/>
        <w:adjustRightInd w:val="0"/>
        <w:spacing w:line="360" w:lineRule="auto"/>
        <w:ind w:firstLine="480" w:firstLineChars="200"/>
        <w:rPr>
          <w:rFonts w:hint="eastAsia" w:asciiTheme="minorEastAsia" w:hAnsiTheme="minorEastAsia" w:eastAsiaTheme="minorEastAsia" w:cstheme="minorEastAsia"/>
          <w:kern w:val="2"/>
          <w:sz w:val="24"/>
        </w:rPr>
      </w:pPr>
      <w:r>
        <w:rPr>
          <w:rFonts w:hint="eastAsia" w:asciiTheme="minorEastAsia" w:hAnsiTheme="minorEastAsia" w:eastAsiaTheme="minorEastAsia" w:cstheme="minorEastAsia"/>
          <w:kern w:val="2"/>
          <w:sz w:val="24"/>
        </w:rPr>
        <w:t>2019年9月20日，本公司、东吴证券股份有限公司、中国农业银行股份有限公司苏州姑苏支行、苏州泽润新药研发有限公司/江苏吴中医药集团有限公司苏州制药厂在苏州签订了募集资金专户存储四方监管协议(具体见公司于2019年9月21日在《中国证券报》《上海证券报》及上海证券交易所网站上披露的相关公告)。</w:t>
      </w:r>
    </w:p>
    <w:p>
      <w:pPr>
        <w:autoSpaceDE w:val="0"/>
        <w:autoSpaceDN w:val="0"/>
        <w:adjustRightInd w:val="0"/>
        <w:spacing w:line="360" w:lineRule="auto"/>
        <w:ind w:firstLine="480" w:firstLineChars="200"/>
        <w:rPr>
          <w:rFonts w:hint="eastAsia" w:asciiTheme="minorEastAsia" w:hAnsiTheme="minorEastAsia" w:eastAsiaTheme="minorEastAsia" w:cstheme="minorEastAsia"/>
          <w:kern w:val="2"/>
          <w:sz w:val="24"/>
        </w:rPr>
      </w:pPr>
      <w:r>
        <w:rPr>
          <w:rFonts w:hint="eastAsia" w:asciiTheme="minorEastAsia" w:hAnsiTheme="minorEastAsia" w:eastAsiaTheme="minorEastAsia" w:cstheme="minorEastAsia"/>
          <w:kern w:val="2"/>
          <w:sz w:val="24"/>
        </w:rPr>
        <w:t>2021年4月26日，经本公司第十届董事会第一次会议、第十届监事会第一次会议及2020年年度股东大会审议通过的《江苏吴中医药发展股份有限公司关于变更部分募集资金用途并永久补充流动资金的议案》，同意公司终止非公开发行的募集资金投资项目“西洛他唑等上市化学仿制药的一致性评价项目”中的西洛他唑片、利奈唑胺葡萄糖注射液、注射用艾司奥美拉唑钠3个子研发项目，以及“利奈唑胺与沃诺拉赞的仿制项目”中的利奈唑胺片剂的仿制、沃诺拉赞片剂的仿制 2个子研发项目，并将剩余的募集资金用于永久补充流动资金。(具体见公司于2021年4月26日及5月19日在《中国证券报》《上海证券报》及上海证券交易所网站上披露的相关公告)。</w:t>
      </w:r>
    </w:p>
    <w:p>
      <w:pPr>
        <w:autoSpaceDE w:val="0"/>
        <w:autoSpaceDN w:val="0"/>
        <w:adjustRightInd w:val="0"/>
        <w:spacing w:line="360" w:lineRule="auto"/>
        <w:ind w:firstLine="480" w:firstLineChars="200"/>
        <w:rPr>
          <w:rFonts w:hint="eastAsia" w:asciiTheme="minorEastAsia" w:hAnsiTheme="minorEastAsia" w:eastAsiaTheme="minorEastAsia" w:cstheme="minorEastAsia"/>
          <w:kern w:val="2"/>
          <w:sz w:val="24"/>
        </w:rPr>
      </w:pPr>
      <w:r>
        <w:rPr>
          <w:rFonts w:hint="eastAsia" w:asciiTheme="minorEastAsia" w:hAnsiTheme="minorEastAsia" w:eastAsiaTheme="minorEastAsia" w:cstheme="minorEastAsia"/>
          <w:kern w:val="2"/>
          <w:sz w:val="24"/>
        </w:rPr>
        <w:t>2023年7月25日，本公司聘请中山证券有限责任公司（以下简称“中山证券”）担任公司2023年向特定对象发行A股股票的保荐机构，并与中山证券签订了《江苏吴中医药发展股份有限公司与中山证券有限责任公司关于江苏吴中医药发展股份有限公司向特定对象发行股票之保荐协议》，根据《证券发行上市保荐业务管理办法》的相关规定，公司因再次申请发行证券另行聘请保荐机构的，应当终止与原保荐机构的保荐协议，另行聘请的保荐机构应当完成原保荐机构未完成的持续督导工作。因此，东吴证券未完成的对公司非公开发行股票募集资金使用情况的持续督导工作由中山证券承继，本公司、中山证券、中国农业银行股份有限公司苏州姑苏支行、苏州泽润新药研发有限公司/江苏吴中医药集团有限公司苏州制药厂在苏州签订了募集资金专户存储四方监管协议(具体见公司于2023年9月6日在《中国证券报》《上海证券报》及上海证券交易所网站上披露的相关公告)。</w:t>
      </w:r>
    </w:p>
    <w:p>
      <w:pPr>
        <w:autoSpaceDE w:val="0"/>
        <w:autoSpaceDN w:val="0"/>
        <w:adjustRightInd w:val="0"/>
        <w:spacing w:line="360" w:lineRule="auto"/>
        <w:ind w:firstLine="480" w:firstLineChars="200"/>
        <w:rPr>
          <w:rFonts w:hint="eastAsia" w:asciiTheme="minorEastAsia" w:hAnsiTheme="minorEastAsia" w:eastAsiaTheme="minorEastAsia" w:cstheme="minorEastAsia"/>
          <w:kern w:val="2"/>
          <w:sz w:val="24"/>
        </w:rPr>
      </w:pPr>
      <w:r>
        <w:rPr>
          <w:rFonts w:hint="eastAsia" w:asciiTheme="minorEastAsia" w:hAnsiTheme="minorEastAsia" w:eastAsiaTheme="minorEastAsia" w:cstheme="minorEastAsia"/>
          <w:kern w:val="2"/>
          <w:sz w:val="24"/>
        </w:rPr>
        <w:t>上述募集资金专户存储四方监管协议的内容与上海证券交易所三方监管协议范本不存在重大差异，本公司在使用募集资金时已经严格遵照履行，以便于募集资金的管理和使用以及对其使用情况进行监督，保证专款专用。</w:t>
      </w:r>
    </w:p>
    <w:bookmarkEnd w:id="0"/>
    <w:bookmarkEnd w:id="1"/>
    <w:p>
      <w:pPr>
        <w:keepNext/>
        <w:keepLines/>
        <w:spacing w:line="360" w:lineRule="auto"/>
        <w:ind w:firstLine="472" w:firstLineChars="196"/>
        <w:outlineLvl w:val="1"/>
        <w:rPr>
          <w:rFonts w:asciiTheme="minorEastAsia" w:hAnsiTheme="minorEastAsia" w:eastAsiaTheme="minorEastAsia" w:cstheme="minorEastAsia"/>
          <w:b/>
          <w:bCs/>
          <w:kern w:val="2"/>
          <w:sz w:val="24"/>
          <w:highlight w:val="none"/>
        </w:rPr>
      </w:pPr>
      <w:r>
        <w:rPr>
          <w:rFonts w:hint="eastAsia" w:asciiTheme="minorEastAsia" w:hAnsiTheme="minorEastAsia" w:eastAsiaTheme="minorEastAsia" w:cstheme="minorEastAsia"/>
          <w:b/>
          <w:bCs/>
          <w:kern w:val="2"/>
          <w:sz w:val="24"/>
          <w:highlight w:val="none"/>
        </w:rPr>
        <w:t xml:space="preserve">(二)募集资金的专户存储情况 </w:t>
      </w:r>
    </w:p>
    <w:p>
      <w:pPr>
        <w:autoSpaceDE w:val="0"/>
        <w:autoSpaceDN w:val="0"/>
        <w:adjustRightInd w:val="0"/>
        <w:spacing w:line="360" w:lineRule="auto"/>
        <w:ind w:firstLine="480" w:firstLineChars="200"/>
        <w:rPr>
          <w:rFonts w:hint="eastAsia" w:asciiTheme="minorEastAsia" w:hAnsiTheme="minorEastAsia" w:eastAsiaTheme="minorEastAsia" w:cstheme="minorEastAsia"/>
          <w:kern w:val="2"/>
          <w:sz w:val="24"/>
        </w:rPr>
      </w:pPr>
      <w:r>
        <w:rPr>
          <w:rFonts w:hint="eastAsia" w:asciiTheme="minorEastAsia" w:hAnsiTheme="minorEastAsia" w:eastAsiaTheme="minorEastAsia" w:cstheme="minorEastAsia"/>
          <w:kern w:val="2"/>
          <w:sz w:val="24"/>
        </w:rPr>
        <w:t>截至2023年12月31日，公司募集资金专户存储情况（含利息收入和扣减手续费）如下表所示：</w:t>
      </w:r>
    </w:p>
    <w:tbl>
      <w:tblPr>
        <w:tblStyle w:val="5"/>
        <w:tblW w:w="8843" w:type="dxa"/>
        <w:tblInd w:w="108"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384"/>
        <w:gridCol w:w="1418"/>
        <w:gridCol w:w="1011"/>
        <w:gridCol w:w="2295"/>
        <w:gridCol w:w="1395"/>
        <w:gridCol w:w="1340"/>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rPr>
          <w:trHeight w:val="455" w:hRule="atLeast"/>
        </w:trPr>
        <w:tc>
          <w:tcPr>
            <w:tcW w:w="1384" w:type="dxa"/>
            <w:tcBorders>
              <w:bottom w:val="dashSmallGap" w:color="auto" w:sz="4" w:space="0"/>
              <w:right w:val="dashSmallGap" w:color="auto" w:sz="4" w:space="0"/>
            </w:tcBorders>
            <w:noWrap w:val="0"/>
            <w:vAlign w:val="center"/>
          </w:tcPr>
          <w:p>
            <w:pPr>
              <w:widowControl/>
              <w:spacing w:line="240" w:lineRule="auto"/>
              <w:jc w:val="center"/>
              <w:rPr>
                <w:rFonts w:hint="eastAsia" w:asciiTheme="minorEastAsia" w:hAnsiTheme="minorEastAsia" w:eastAsiaTheme="minorEastAsia" w:cstheme="minorEastAsia"/>
                <w:snapToGrid w:val="0"/>
                <w:color w:val="auto"/>
                <w:kern w:val="0"/>
                <w:sz w:val="20"/>
                <w:szCs w:val="20"/>
              </w:rPr>
            </w:pPr>
            <w:r>
              <w:rPr>
                <w:rFonts w:hint="eastAsia" w:asciiTheme="minorEastAsia" w:hAnsiTheme="minorEastAsia" w:eastAsiaTheme="minorEastAsia" w:cstheme="minorEastAsia"/>
                <w:snapToGrid w:val="0"/>
                <w:color w:val="auto"/>
                <w:kern w:val="0"/>
                <w:sz w:val="20"/>
                <w:szCs w:val="20"/>
              </w:rPr>
              <w:t>账户名称</w:t>
            </w:r>
          </w:p>
        </w:tc>
        <w:tc>
          <w:tcPr>
            <w:tcW w:w="1418" w:type="dxa"/>
            <w:tcBorders>
              <w:left w:val="dashSmallGap" w:color="auto" w:sz="4" w:space="0"/>
              <w:bottom w:val="dashSmallGap" w:color="auto" w:sz="4" w:space="0"/>
              <w:right w:val="dashSmallGap" w:color="auto" w:sz="4" w:space="0"/>
            </w:tcBorders>
            <w:noWrap w:val="0"/>
            <w:vAlign w:val="center"/>
          </w:tcPr>
          <w:p>
            <w:pPr>
              <w:widowControl/>
              <w:spacing w:line="240" w:lineRule="auto"/>
              <w:jc w:val="center"/>
              <w:rPr>
                <w:rFonts w:hint="eastAsia" w:asciiTheme="minorEastAsia" w:hAnsiTheme="minorEastAsia" w:eastAsiaTheme="minorEastAsia" w:cstheme="minorEastAsia"/>
                <w:snapToGrid w:val="0"/>
                <w:color w:val="auto"/>
                <w:kern w:val="0"/>
                <w:sz w:val="20"/>
                <w:szCs w:val="20"/>
              </w:rPr>
            </w:pPr>
            <w:r>
              <w:rPr>
                <w:rFonts w:hint="eastAsia" w:asciiTheme="minorEastAsia" w:hAnsiTheme="minorEastAsia" w:eastAsiaTheme="minorEastAsia" w:cstheme="minorEastAsia"/>
                <w:snapToGrid w:val="0"/>
                <w:color w:val="auto"/>
                <w:kern w:val="0"/>
                <w:sz w:val="20"/>
                <w:szCs w:val="20"/>
              </w:rPr>
              <w:t>开户银行</w:t>
            </w:r>
          </w:p>
        </w:tc>
        <w:tc>
          <w:tcPr>
            <w:tcW w:w="1011" w:type="dxa"/>
            <w:tcBorders>
              <w:left w:val="dashSmallGap" w:color="auto" w:sz="4" w:space="0"/>
              <w:bottom w:val="dashSmallGap" w:color="auto" w:sz="4" w:space="0"/>
              <w:right w:val="dashSmallGap" w:color="auto" w:sz="4" w:space="0"/>
            </w:tcBorders>
            <w:noWrap w:val="0"/>
            <w:vAlign w:val="center"/>
          </w:tcPr>
          <w:p>
            <w:pPr>
              <w:widowControl/>
              <w:spacing w:line="240" w:lineRule="auto"/>
              <w:jc w:val="center"/>
              <w:rPr>
                <w:rFonts w:hint="eastAsia" w:asciiTheme="minorEastAsia" w:hAnsiTheme="minorEastAsia" w:eastAsiaTheme="minorEastAsia" w:cstheme="minorEastAsia"/>
                <w:snapToGrid w:val="0"/>
                <w:color w:val="auto"/>
                <w:kern w:val="0"/>
                <w:sz w:val="20"/>
                <w:szCs w:val="20"/>
              </w:rPr>
            </w:pPr>
            <w:r>
              <w:rPr>
                <w:rFonts w:hint="eastAsia" w:asciiTheme="minorEastAsia" w:hAnsiTheme="minorEastAsia" w:eastAsiaTheme="minorEastAsia" w:cstheme="minorEastAsia"/>
                <w:snapToGrid w:val="0"/>
                <w:color w:val="auto"/>
                <w:kern w:val="0"/>
                <w:sz w:val="20"/>
                <w:szCs w:val="20"/>
              </w:rPr>
              <w:t>账户类别</w:t>
            </w:r>
          </w:p>
        </w:tc>
        <w:tc>
          <w:tcPr>
            <w:tcW w:w="2295" w:type="dxa"/>
            <w:tcBorders>
              <w:left w:val="dashSmallGap" w:color="auto" w:sz="4" w:space="0"/>
              <w:bottom w:val="dashSmallGap" w:color="auto" w:sz="4" w:space="0"/>
              <w:right w:val="dashSmallGap" w:color="auto" w:sz="4" w:space="0"/>
            </w:tcBorders>
            <w:noWrap w:val="0"/>
            <w:vAlign w:val="center"/>
          </w:tcPr>
          <w:p>
            <w:pPr>
              <w:widowControl/>
              <w:spacing w:line="240" w:lineRule="auto"/>
              <w:jc w:val="center"/>
              <w:rPr>
                <w:rFonts w:hint="eastAsia" w:asciiTheme="minorEastAsia" w:hAnsiTheme="minorEastAsia" w:eastAsiaTheme="minorEastAsia" w:cstheme="minorEastAsia"/>
                <w:snapToGrid w:val="0"/>
                <w:color w:val="auto"/>
                <w:kern w:val="0"/>
                <w:sz w:val="20"/>
                <w:szCs w:val="20"/>
              </w:rPr>
            </w:pPr>
            <w:r>
              <w:rPr>
                <w:rFonts w:hint="eastAsia" w:asciiTheme="minorEastAsia" w:hAnsiTheme="minorEastAsia" w:eastAsiaTheme="minorEastAsia" w:cstheme="minorEastAsia"/>
                <w:snapToGrid w:val="0"/>
                <w:color w:val="auto"/>
                <w:kern w:val="0"/>
                <w:sz w:val="20"/>
                <w:szCs w:val="20"/>
              </w:rPr>
              <w:t>银行账号</w:t>
            </w:r>
          </w:p>
        </w:tc>
        <w:tc>
          <w:tcPr>
            <w:tcW w:w="1395" w:type="dxa"/>
            <w:tcBorders>
              <w:left w:val="dashSmallGap" w:color="auto" w:sz="4" w:space="0"/>
              <w:bottom w:val="dashSmallGap" w:color="auto" w:sz="4" w:space="0"/>
              <w:right w:val="dashSmallGap" w:color="auto" w:sz="4" w:space="0"/>
            </w:tcBorders>
            <w:noWrap w:val="0"/>
            <w:vAlign w:val="center"/>
          </w:tcPr>
          <w:p>
            <w:pPr>
              <w:widowControl/>
              <w:spacing w:line="240" w:lineRule="auto"/>
              <w:jc w:val="center"/>
              <w:rPr>
                <w:rFonts w:hint="eastAsia" w:asciiTheme="minorEastAsia" w:hAnsiTheme="minorEastAsia" w:eastAsiaTheme="minorEastAsia" w:cstheme="minorEastAsia"/>
                <w:snapToGrid w:val="0"/>
                <w:color w:val="auto"/>
                <w:kern w:val="0"/>
                <w:sz w:val="20"/>
                <w:szCs w:val="20"/>
              </w:rPr>
            </w:pPr>
            <w:r>
              <w:rPr>
                <w:rFonts w:hint="eastAsia" w:asciiTheme="minorEastAsia" w:hAnsiTheme="minorEastAsia" w:eastAsiaTheme="minorEastAsia" w:cstheme="minorEastAsia"/>
                <w:snapToGrid w:val="0"/>
                <w:color w:val="auto"/>
                <w:kern w:val="0"/>
                <w:sz w:val="20"/>
                <w:szCs w:val="20"/>
              </w:rPr>
              <w:t>存储余额</w:t>
            </w:r>
          </w:p>
        </w:tc>
        <w:tc>
          <w:tcPr>
            <w:tcW w:w="1340" w:type="dxa"/>
            <w:tcBorders>
              <w:left w:val="dashSmallGap" w:color="auto" w:sz="4" w:space="0"/>
              <w:bottom w:val="dashSmallGap" w:color="auto" w:sz="4" w:space="0"/>
            </w:tcBorders>
            <w:noWrap w:val="0"/>
            <w:vAlign w:val="center"/>
          </w:tcPr>
          <w:p>
            <w:pPr>
              <w:widowControl/>
              <w:spacing w:line="240" w:lineRule="auto"/>
              <w:jc w:val="center"/>
              <w:rPr>
                <w:rFonts w:hint="eastAsia" w:asciiTheme="minorEastAsia" w:hAnsiTheme="minorEastAsia" w:eastAsiaTheme="minorEastAsia" w:cstheme="minorEastAsia"/>
                <w:snapToGrid w:val="0"/>
                <w:color w:val="auto"/>
                <w:kern w:val="0"/>
                <w:sz w:val="20"/>
                <w:szCs w:val="20"/>
              </w:rPr>
            </w:pPr>
            <w:r>
              <w:rPr>
                <w:rFonts w:hint="eastAsia" w:asciiTheme="minorEastAsia" w:hAnsiTheme="minorEastAsia" w:eastAsiaTheme="minorEastAsia" w:cstheme="minorEastAsia"/>
                <w:snapToGrid w:val="0"/>
                <w:color w:val="auto"/>
                <w:kern w:val="0"/>
                <w:sz w:val="20"/>
                <w:szCs w:val="20"/>
              </w:rPr>
              <w:t>备注</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5" w:hRule="atLeast"/>
        </w:trPr>
        <w:tc>
          <w:tcPr>
            <w:tcW w:w="1384" w:type="dxa"/>
            <w:tcBorders>
              <w:top w:val="dashSmallGap" w:color="auto" w:sz="4" w:space="0"/>
              <w:bottom w:val="dashSmallGap" w:color="auto" w:sz="4" w:space="0"/>
              <w:right w:val="dashSmallGap" w:color="auto" w:sz="4" w:space="0"/>
            </w:tcBorders>
            <w:noWrap w:val="0"/>
            <w:vAlign w:val="center"/>
          </w:tcPr>
          <w:p>
            <w:pPr>
              <w:widowControl/>
              <w:spacing w:line="240" w:lineRule="auto"/>
              <w:jc w:val="left"/>
              <w:rPr>
                <w:rFonts w:hint="eastAsia" w:asciiTheme="minorEastAsia" w:hAnsiTheme="minorEastAsia" w:eastAsiaTheme="minorEastAsia" w:cstheme="minorEastAsia"/>
                <w:snapToGrid w:val="0"/>
                <w:color w:val="auto"/>
                <w:kern w:val="0"/>
                <w:sz w:val="20"/>
                <w:szCs w:val="20"/>
              </w:rPr>
            </w:pPr>
            <w:r>
              <w:rPr>
                <w:rFonts w:hint="eastAsia" w:asciiTheme="minorEastAsia" w:hAnsiTheme="minorEastAsia" w:eastAsiaTheme="minorEastAsia" w:cstheme="minorEastAsia"/>
                <w:snapToGrid w:val="0"/>
                <w:color w:val="auto"/>
                <w:kern w:val="0"/>
                <w:sz w:val="20"/>
                <w:szCs w:val="20"/>
              </w:rPr>
              <w:t>江苏吴中医药发展股份有限公司</w:t>
            </w:r>
          </w:p>
        </w:tc>
        <w:tc>
          <w:tcPr>
            <w:tcW w:w="1418" w:type="dxa"/>
            <w:tcBorders>
              <w:top w:val="dashSmallGap" w:color="auto" w:sz="4" w:space="0"/>
              <w:left w:val="dashSmallGap" w:color="auto" w:sz="4" w:space="0"/>
              <w:bottom w:val="dashSmallGap" w:color="auto" w:sz="4" w:space="0"/>
              <w:right w:val="dashSmallGap" w:color="auto" w:sz="4" w:space="0"/>
            </w:tcBorders>
            <w:noWrap w:val="0"/>
            <w:vAlign w:val="center"/>
          </w:tcPr>
          <w:p>
            <w:pPr>
              <w:widowControl/>
              <w:spacing w:line="240" w:lineRule="auto"/>
              <w:jc w:val="left"/>
              <w:rPr>
                <w:rFonts w:hint="eastAsia" w:asciiTheme="minorEastAsia" w:hAnsiTheme="minorEastAsia" w:eastAsiaTheme="minorEastAsia" w:cstheme="minorEastAsia"/>
                <w:snapToGrid w:val="0"/>
                <w:color w:val="auto"/>
                <w:kern w:val="0"/>
                <w:sz w:val="20"/>
                <w:szCs w:val="20"/>
              </w:rPr>
            </w:pPr>
            <w:r>
              <w:rPr>
                <w:rFonts w:hint="eastAsia" w:asciiTheme="minorEastAsia" w:hAnsiTheme="minorEastAsia" w:eastAsiaTheme="minorEastAsia" w:cstheme="minorEastAsia"/>
                <w:snapToGrid w:val="0"/>
                <w:color w:val="auto"/>
                <w:kern w:val="0"/>
                <w:sz w:val="20"/>
                <w:szCs w:val="20"/>
              </w:rPr>
              <w:t>中国农业银行股份有限公司苏州南门支行</w:t>
            </w:r>
          </w:p>
        </w:tc>
        <w:tc>
          <w:tcPr>
            <w:tcW w:w="1011" w:type="dxa"/>
            <w:tcBorders>
              <w:top w:val="dashSmallGap" w:color="auto" w:sz="4" w:space="0"/>
              <w:left w:val="dashSmallGap" w:color="auto" w:sz="4" w:space="0"/>
              <w:bottom w:val="dashSmallGap" w:color="auto" w:sz="4" w:space="0"/>
              <w:right w:val="dashSmallGap" w:color="auto" w:sz="4" w:space="0"/>
            </w:tcBorders>
            <w:noWrap w:val="0"/>
            <w:vAlign w:val="center"/>
          </w:tcPr>
          <w:p>
            <w:pPr>
              <w:widowControl/>
              <w:spacing w:line="240" w:lineRule="auto"/>
              <w:jc w:val="left"/>
              <w:rPr>
                <w:rFonts w:hint="eastAsia" w:asciiTheme="minorEastAsia" w:hAnsiTheme="minorEastAsia" w:eastAsiaTheme="minorEastAsia" w:cstheme="minorEastAsia"/>
                <w:snapToGrid w:val="0"/>
                <w:color w:val="auto"/>
                <w:kern w:val="0"/>
                <w:sz w:val="20"/>
                <w:szCs w:val="20"/>
              </w:rPr>
            </w:pPr>
            <w:r>
              <w:rPr>
                <w:rFonts w:hint="eastAsia" w:asciiTheme="minorEastAsia" w:hAnsiTheme="minorEastAsia" w:eastAsiaTheme="minorEastAsia" w:cstheme="minorEastAsia"/>
                <w:snapToGrid w:val="0"/>
                <w:color w:val="auto"/>
                <w:kern w:val="0"/>
                <w:sz w:val="20"/>
                <w:szCs w:val="20"/>
              </w:rPr>
              <w:t>募集资金专户</w:t>
            </w:r>
          </w:p>
        </w:tc>
        <w:tc>
          <w:tcPr>
            <w:tcW w:w="2295" w:type="dxa"/>
            <w:tcBorders>
              <w:top w:val="dashSmallGap" w:color="auto" w:sz="4" w:space="0"/>
              <w:left w:val="dashSmallGap" w:color="auto" w:sz="4" w:space="0"/>
              <w:bottom w:val="dashSmallGap" w:color="auto" w:sz="4" w:space="0"/>
              <w:right w:val="dashSmallGap" w:color="auto" w:sz="4" w:space="0"/>
            </w:tcBorders>
            <w:noWrap w:val="0"/>
            <w:vAlign w:val="center"/>
          </w:tcPr>
          <w:p>
            <w:pPr>
              <w:widowControl/>
              <w:spacing w:line="240" w:lineRule="auto"/>
              <w:jc w:val="center"/>
              <w:rPr>
                <w:rFonts w:hint="eastAsia" w:asciiTheme="minorEastAsia" w:hAnsiTheme="minorEastAsia" w:eastAsiaTheme="minorEastAsia" w:cstheme="minorEastAsia"/>
                <w:snapToGrid w:val="0"/>
                <w:color w:val="auto"/>
                <w:kern w:val="0"/>
                <w:sz w:val="20"/>
                <w:szCs w:val="20"/>
              </w:rPr>
            </w:pPr>
            <w:r>
              <w:rPr>
                <w:rFonts w:hint="eastAsia" w:asciiTheme="minorEastAsia" w:hAnsiTheme="minorEastAsia" w:eastAsiaTheme="minorEastAsia" w:cstheme="minorEastAsia"/>
                <w:snapToGrid w:val="0"/>
                <w:color w:val="auto"/>
                <w:kern w:val="0"/>
                <w:sz w:val="20"/>
                <w:szCs w:val="20"/>
              </w:rPr>
              <w:t>10553301040012703</w:t>
            </w:r>
          </w:p>
        </w:tc>
        <w:tc>
          <w:tcPr>
            <w:tcW w:w="1395" w:type="dxa"/>
            <w:tcBorders>
              <w:top w:val="dashSmallGap" w:color="auto" w:sz="4" w:space="0"/>
              <w:left w:val="dashSmallGap" w:color="auto" w:sz="4" w:space="0"/>
              <w:bottom w:val="dashSmallGap" w:color="auto" w:sz="4" w:space="0"/>
              <w:right w:val="dashSmallGap" w:color="auto" w:sz="4" w:space="0"/>
            </w:tcBorders>
            <w:noWrap w:val="0"/>
            <w:vAlign w:val="center"/>
          </w:tcPr>
          <w:p>
            <w:pPr>
              <w:widowControl/>
              <w:spacing w:line="240" w:lineRule="auto"/>
              <w:jc w:val="left"/>
              <w:rPr>
                <w:rFonts w:hint="eastAsia" w:asciiTheme="minorEastAsia" w:hAnsiTheme="minorEastAsia" w:eastAsiaTheme="minorEastAsia" w:cstheme="minorEastAsia"/>
                <w:snapToGrid w:val="0"/>
                <w:color w:val="auto"/>
                <w:kern w:val="0"/>
                <w:sz w:val="20"/>
                <w:szCs w:val="20"/>
              </w:rPr>
            </w:pPr>
            <w:r>
              <w:rPr>
                <w:rFonts w:hint="eastAsia" w:asciiTheme="minorEastAsia" w:hAnsiTheme="minorEastAsia" w:eastAsiaTheme="minorEastAsia" w:cstheme="minorEastAsia"/>
                <w:snapToGrid w:val="0"/>
                <w:color w:val="auto"/>
                <w:kern w:val="0"/>
                <w:sz w:val="20"/>
                <w:szCs w:val="20"/>
              </w:rPr>
              <w:t>已注销[注5]</w:t>
            </w:r>
          </w:p>
        </w:tc>
        <w:tc>
          <w:tcPr>
            <w:tcW w:w="1340" w:type="dxa"/>
            <w:tcBorders>
              <w:top w:val="dashSmallGap" w:color="auto" w:sz="4" w:space="0"/>
              <w:left w:val="dashSmallGap" w:color="auto" w:sz="4" w:space="0"/>
              <w:bottom w:val="dashSmallGap" w:color="auto" w:sz="4" w:space="0"/>
            </w:tcBorders>
            <w:noWrap w:val="0"/>
            <w:vAlign w:val="center"/>
          </w:tcPr>
          <w:p>
            <w:pPr>
              <w:widowControl/>
              <w:spacing w:line="240" w:lineRule="auto"/>
              <w:jc w:val="left"/>
              <w:rPr>
                <w:rFonts w:hint="eastAsia" w:asciiTheme="minorEastAsia" w:hAnsiTheme="minorEastAsia" w:eastAsiaTheme="minorEastAsia" w:cstheme="minorEastAsia"/>
                <w:snapToGrid w:val="0"/>
                <w:color w:val="auto"/>
                <w:kern w:val="0"/>
                <w:sz w:val="20"/>
                <w:szCs w:val="20"/>
              </w:rPr>
            </w:pPr>
            <w:r>
              <w:rPr>
                <w:rFonts w:hint="eastAsia" w:asciiTheme="minorEastAsia" w:hAnsiTheme="minorEastAsia" w:eastAsiaTheme="minorEastAsia" w:cstheme="minorEastAsia"/>
                <w:snapToGrid w:val="0"/>
                <w:color w:val="auto"/>
                <w:kern w:val="0"/>
                <w:sz w:val="20"/>
                <w:szCs w:val="20"/>
              </w:rPr>
              <w:t>划款账户</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810" w:hRule="atLeast"/>
        </w:trPr>
        <w:tc>
          <w:tcPr>
            <w:tcW w:w="1384" w:type="dxa"/>
            <w:tcBorders>
              <w:top w:val="dashSmallGap" w:color="auto" w:sz="4" w:space="0"/>
              <w:bottom w:val="dashSmallGap" w:color="auto" w:sz="4" w:space="0"/>
              <w:right w:val="dashSmallGap" w:color="auto" w:sz="4" w:space="0"/>
            </w:tcBorders>
            <w:noWrap w:val="0"/>
            <w:vAlign w:val="center"/>
          </w:tcPr>
          <w:p>
            <w:pPr>
              <w:widowControl/>
              <w:spacing w:line="240" w:lineRule="auto"/>
              <w:jc w:val="left"/>
              <w:rPr>
                <w:rFonts w:hint="eastAsia" w:asciiTheme="minorEastAsia" w:hAnsiTheme="minorEastAsia" w:eastAsiaTheme="minorEastAsia" w:cstheme="minorEastAsia"/>
                <w:snapToGrid w:val="0"/>
                <w:color w:val="auto"/>
                <w:kern w:val="0"/>
                <w:sz w:val="20"/>
                <w:szCs w:val="20"/>
              </w:rPr>
            </w:pPr>
            <w:r>
              <w:rPr>
                <w:rFonts w:hint="eastAsia" w:asciiTheme="minorEastAsia" w:hAnsiTheme="minorEastAsia" w:eastAsiaTheme="minorEastAsia" w:cstheme="minorEastAsia"/>
                <w:snapToGrid w:val="0"/>
                <w:color w:val="auto"/>
                <w:kern w:val="0"/>
                <w:sz w:val="20"/>
                <w:szCs w:val="20"/>
              </w:rPr>
              <w:t>江苏吴中医药集团有限公司苏州中凯生物制药厂</w:t>
            </w:r>
          </w:p>
        </w:tc>
        <w:tc>
          <w:tcPr>
            <w:tcW w:w="1418" w:type="dxa"/>
            <w:tcBorders>
              <w:top w:val="dashSmallGap" w:color="auto" w:sz="4" w:space="0"/>
              <w:left w:val="dashSmallGap" w:color="auto" w:sz="4" w:space="0"/>
              <w:bottom w:val="dashSmallGap" w:color="auto" w:sz="4" w:space="0"/>
              <w:right w:val="dashSmallGap" w:color="auto" w:sz="4" w:space="0"/>
            </w:tcBorders>
            <w:noWrap w:val="0"/>
            <w:vAlign w:val="center"/>
          </w:tcPr>
          <w:p>
            <w:pPr>
              <w:widowControl/>
              <w:spacing w:line="240" w:lineRule="auto"/>
              <w:jc w:val="left"/>
              <w:rPr>
                <w:rFonts w:hint="eastAsia" w:asciiTheme="minorEastAsia" w:hAnsiTheme="minorEastAsia" w:eastAsiaTheme="minorEastAsia" w:cstheme="minorEastAsia"/>
                <w:snapToGrid w:val="0"/>
                <w:color w:val="auto"/>
                <w:kern w:val="0"/>
                <w:sz w:val="20"/>
                <w:szCs w:val="20"/>
              </w:rPr>
            </w:pPr>
            <w:r>
              <w:rPr>
                <w:rFonts w:hint="eastAsia" w:asciiTheme="minorEastAsia" w:hAnsiTheme="minorEastAsia" w:eastAsiaTheme="minorEastAsia" w:cstheme="minorEastAsia"/>
                <w:snapToGrid w:val="0"/>
                <w:color w:val="auto"/>
                <w:kern w:val="0"/>
                <w:sz w:val="20"/>
                <w:szCs w:val="20"/>
              </w:rPr>
              <w:t>中国农业银行股份有限公司苏州南门支行</w:t>
            </w:r>
          </w:p>
        </w:tc>
        <w:tc>
          <w:tcPr>
            <w:tcW w:w="1011" w:type="dxa"/>
            <w:tcBorders>
              <w:top w:val="dashSmallGap" w:color="auto" w:sz="4" w:space="0"/>
              <w:left w:val="dashSmallGap" w:color="auto" w:sz="4" w:space="0"/>
              <w:bottom w:val="dashSmallGap" w:color="auto" w:sz="4" w:space="0"/>
              <w:right w:val="dashSmallGap" w:color="auto" w:sz="4" w:space="0"/>
            </w:tcBorders>
            <w:noWrap w:val="0"/>
            <w:vAlign w:val="center"/>
          </w:tcPr>
          <w:p>
            <w:pPr>
              <w:widowControl/>
              <w:spacing w:line="240" w:lineRule="auto"/>
              <w:jc w:val="left"/>
              <w:rPr>
                <w:rFonts w:hint="eastAsia" w:asciiTheme="minorEastAsia" w:hAnsiTheme="minorEastAsia" w:eastAsiaTheme="minorEastAsia" w:cstheme="minorEastAsia"/>
                <w:snapToGrid w:val="0"/>
                <w:color w:val="auto"/>
                <w:kern w:val="0"/>
                <w:sz w:val="20"/>
                <w:szCs w:val="20"/>
              </w:rPr>
            </w:pPr>
            <w:r>
              <w:rPr>
                <w:rFonts w:hint="eastAsia" w:asciiTheme="minorEastAsia" w:hAnsiTheme="minorEastAsia" w:eastAsiaTheme="minorEastAsia" w:cstheme="minorEastAsia"/>
                <w:snapToGrid w:val="0"/>
                <w:color w:val="auto"/>
                <w:kern w:val="0"/>
                <w:sz w:val="20"/>
                <w:szCs w:val="20"/>
              </w:rPr>
              <w:t>募集资金专户</w:t>
            </w:r>
          </w:p>
          <w:p>
            <w:pPr>
              <w:widowControl/>
              <w:spacing w:line="240" w:lineRule="auto"/>
              <w:jc w:val="left"/>
              <w:rPr>
                <w:rFonts w:hint="eastAsia" w:asciiTheme="minorEastAsia" w:hAnsiTheme="minorEastAsia" w:eastAsiaTheme="minorEastAsia" w:cstheme="minorEastAsia"/>
                <w:snapToGrid w:val="0"/>
                <w:color w:val="auto"/>
                <w:kern w:val="0"/>
                <w:sz w:val="20"/>
                <w:szCs w:val="20"/>
              </w:rPr>
            </w:pPr>
          </w:p>
        </w:tc>
        <w:tc>
          <w:tcPr>
            <w:tcW w:w="2295" w:type="dxa"/>
            <w:tcBorders>
              <w:top w:val="dashSmallGap" w:color="auto" w:sz="4" w:space="0"/>
              <w:left w:val="dashSmallGap" w:color="auto" w:sz="4" w:space="0"/>
              <w:bottom w:val="dashSmallGap" w:color="auto" w:sz="4" w:space="0"/>
              <w:right w:val="dashSmallGap" w:color="auto" w:sz="4" w:space="0"/>
            </w:tcBorders>
            <w:noWrap w:val="0"/>
            <w:vAlign w:val="center"/>
          </w:tcPr>
          <w:p>
            <w:pPr>
              <w:widowControl/>
              <w:spacing w:line="240" w:lineRule="auto"/>
              <w:jc w:val="center"/>
              <w:rPr>
                <w:rFonts w:hint="eastAsia" w:asciiTheme="minorEastAsia" w:hAnsiTheme="minorEastAsia" w:eastAsiaTheme="minorEastAsia" w:cstheme="minorEastAsia"/>
                <w:snapToGrid w:val="0"/>
                <w:color w:val="auto"/>
                <w:kern w:val="0"/>
                <w:sz w:val="20"/>
                <w:szCs w:val="20"/>
              </w:rPr>
            </w:pPr>
            <w:r>
              <w:rPr>
                <w:rFonts w:hint="eastAsia" w:asciiTheme="minorEastAsia" w:hAnsiTheme="minorEastAsia" w:eastAsiaTheme="minorEastAsia" w:cstheme="minorEastAsia"/>
                <w:snapToGrid w:val="0"/>
                <w:color w:val="auto"/>
                <w:kern w:val="0"/>
                <w:sz w:val="20"/>
                <w:szCs w:val="20"/>
              </w:rPr>
              <w:t>10553301040012760</w:t>
            </w:r>
          </w:p>
        </w:tc>
        <w:tc>
          <w:tcPr>
            <w:tcW w:w="1395" w:type="dxa"/>
            <w:tcBorders>
              <w:top w:val="dashSmallGap" w:color="auto" w:sz="4" w:space="0"/>
              <w:left w:val="dashSmallGap" w:color="auto" w:sz="4" w:space="0"/>
              <w:bottom w:val="dashSmallGap" w:color="auto" w:sz="4" w:space="0"/>
              <w:right w:val="dashSmallGap" w:color="auto" w:sz="4" w:space="0"/>
            </w:tcBorders>
            <w:noWrap w:val="0"/>
            <w:vAlign w:val="center"/>
          </w:tcPr>
          <w:p>
            <w:pPr>
              <w:widowControl/>
              <w:spacing w:line="240" w:lineRule="auto"/>
              <w:jc w:val="left"/>
              <w:rPr>
                <w:rFonts w:hint="eastAsia" w:asciiTheme="minorEastAsia" w:hAnsiTheme="minorEastAsia" w:eastAsiaTheme="minorEastAsia" w:cstheme="minorEastAsia"/>
                <w:snapToGrid w:val="0"/>
                <w:color w:val="auto"/>
                <w:kern w:val="0"/>
                <w:sz w:val="20"/>
                <w:szCs w:val="20"/>
              </w:rPr>
            </w:pPr>
            <w:r>
              <w:rPr>
                <w:rFonts w:hint="eastAsia" w:asciiTheme="minorEastAsia" w:hAnsiTheme="minorEastAsia" w:eastAsiaTheme="minorEastAsia" w:cstheme="minorEastAsia"/>
                <w:snapToGrid w:val="0"/>
                <w:color w:val="auto"/>
                <w:kern w:val="0"/>
                <w:sz w:val="20"/>
                <w:szCs w:val="20"/>
              </w:rPr>
              <w:t>已注销[注8]</w:t>
            </w:r>
          </w:p>
        </w:tc>
        <w:tc>
          <w:tcPr>
            <w:tcW w:w="1340" w:type="dxa"/>
            <w:tcBorders>
              <w:top w:val="dashSmallGap" w:color="auto" w:sz="4" w:space="0"/>
              <w:left w:val="dashSmallGap" w:color="auto" w:sz="4" w:space="0"/>
              <w:bottom w:val="dashSmallGap" w:color="auto" w:sz="4" w:space="0"/>
            </w:tcBorders>
            <w:noWrap w:val="0"/>
            <w:vAlign w:val="center"/>
          </w:tcPr>
          <w:p>
            <w:pPr>
              <w:widowControl/>
              <w:spacing w:line="240" w:lineRule="auto"/>
              <w:jc w:val="left"/>
              <w:rPr>
                <w:rFonts w:hint="eastAsia" w:asciiTheme="minorEastAsia" w:hAnsiTheme="minorEastAsia" w:eastAsiaTheme="minorEastAsia" w:cstheme="minorEastAsia"/>
                <w:snapToGrid w:val="0"/>
                <w:color w:val="auto"/>
                <w:kern w:val="0"/>
                <w:sz w:val="20"/>
                <w:szCs w:val="20"/>
              </w:rPr>
            </w:pPr>
            <w:r>
              <w:rPr>
                <w:rFonts w:hint="eastAsia" w:asciiTheme="minorEastAsia" w:hAnsiTheme="minorEastAsia" w:eastAsiaTheme="minorEastAsia" w:cstheme="minorEastAsia"/>
                <w:snapToGrid w:val="0"/>
                <w:color w:val="auto"/>
                <w:kern w:val="0"/>
                <w:sz w:val="20"/>
                <w:szCs w:val="20"/>
              </w:rPr>
              <w:t>国家一类生物抗癌新药重组人血管内皮抑素注射液研发项目</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5" w:hRule="atLeast"/>
        </w:trPr>
        <w:tc>
          <w:tcPr>
            <w:tcW w:w="1384" w:type="dxa"/>
            <w:tcBorders>
              <w:top w:val="dashSmallGap" w:color="auto" w:sz="4" w:space="0"/>
              <w:bottom w:val="dashSmallGap" w:color="auto" w:sz="4" w:space="0"/>
              <w:right w:val="dashSmallGap" w:color="auto" w:sz="4" w:space="0"/>
            </w:tcBorders>
            <w:noWrap w:val="0"/>
            <w:vAlign w:val="center"/>
          </w:tcPr>
          <w:p>
            <w:pPr>
              <w:widowControl/>
              <w:spacing w:line="240" w:lineRule="auto"/>
              <w:jc w:val="left"/>
              <w:rPr>
                <w:rFonts w:hint="eastAsia" w:asciiTheme="minorEastAsia" w:hAnsiTheme="minorEastAsia" w:eastAsiaTheme="minorEastAsia" w:cstheme="minorEastAsia"/>
                <w:snapToGrid w:val="0"/>
                <w:color w:val="auto"/>
                <w:kern w:val="0"/>
                <w:sz w:val="20"/>
                <w:szCs w:val="20"/>
              </w:rPr>
            </w:pPr>
            <w:r>
              <w:rPr>
                <w:rFonts w:hint="eastAsia" w:asciiTheme="minorEastAsia" w:hAnsiTheme="minorEastAsia" w:eastAsiaTheme="minorEastAsia" w:cstheme="minorEastAsia"/>
                <w:snapToGrid w:val="0"/>
                <w:color w:val="auto"/>
                <w:kern w:val="0"/>
                <w:sz w:val="20"/>
                <w:szCs w:val="20"/>
              </w:rPr>
              <w:t>江苏吴中医药集团有限公司苏州制药厂</w:t>
            </w:r>
          </w:p>
        </w:tc>
        <w:tc>
          <w:tcPr>
            <w:tcW w:w="1418" w:type="dxa"/>
            <w:tcBorders>
              <w:top w:val="dashSmallGap" w:color="auto" w:sz="4" w:space="0"/>
              <w:left w:val="dashSmallGap" w:color="auto" w:sz="4" w:space="0"/>
              <w:bottom w:val="dashSmallGap" w:color="auto" w:sz="4" w:space="0"/>
              <w:right w:val="dashSmallGap" w:color="auto" w:sz="4" w:space="0"/>
            </w:tcBorders>
            <w:noWrap w:val="0"/>
            <w:vAlign w:val="center"/>
          </w:tcPr>
          <w:p>
            <w:pPr>
              <w:widowControl/>
              <w:spacing w:line="240" w:lineRule="auto"/>
              <w:jc w:val="left"/>
              <w:rPr>
                <w:rFonts w:hint="eastAsia" w:asciiTheme="minorEastAsia" w:hAnsiTheme="minorEastAsia" w:eastAsiaTheme="minorEastAsia" w:cstheme="minorEastAsia"/>
                <w:snapToGrid w:val="0"/>
                <w:color w:val="auto"/>
                <w:kern w:val="0"/>
                <w:sz w:val="20"/>
                <w:szCs w:val="20"/>
              </w:rPr>
            </w:pPr>
            <w:r>
              <w:rPr>
                <w:rFonts w:hint="eastAsia" w:asciiTheme="minorEastAsia" w:hAnsiTheme="minorEastAsia" w:eastAsiaTheme="minorEastAsia" w:cstheme="minorEastAsia"/>
                <w:snapToGrid w:val="0"/>
                <w:color w:val="auto"/>
                <w:kern w:val="0"/>
                <w:sz w:val="20"/>
                <w:szCs w:val="20"/>
              </w:rPr>
              <w:t>中国银行股份有限公司苏州吴中支行</w:t>
            </w:r>
          </w:p>
        </w:tc>
        <w:tc>
          <w:tcPr>
            <w:tcW w:w="1011" w:type="dxa"/>
            <w:tcBorders>
              <w:top w:val="dashSmallGap" w:color="auto" w:sz="4" w:space="0"/>
              <w:left w:val="dashSmallGap" w:color="auto" w:sz="4" w:space="0"/>
              <w:bottom w:val="dashSmallGap" w:color="auto" w:sz="4" w:space="0"/>
              <w:right w:val="dashSmallGap" w:color="auto" w:sz="4" w:space="0"/>
            </w:tcBorders>
            <w:noWrap w:val="0"/>
            <w:vAlign w:val="center"/>
          </w:tcPr>
          <w:p>
            <w:pPr>
              <w:widowControl/>
              <w:spacing w:line="240" w:lineRule="auto"/>
              <w:jc w:val="left"/>
              <w:rPr>
                <w:rFonts w:hint="eastAsia" w:asciiTheme="minorEastAsia" w:hAnsiTheme="minorEastAsia" w:eastAsiaTheme="minorEastAsia" w:cstheme="minorEastAsia"/>
                <w:snapToGrid w:val="0"/>
                <w:color w:val="auto"/>
                <w:kern w:val="0"/>
                <w:sz w:val="20"/>
                <w:szCs w:val="20"/>
              </w:rPr>
            </w:pPr>
            <w:r>
              <w:rPr>
                <w:rFonts w:hint="eastAsia" w:asciiTheme="minorEastAsia" w:hAnsiTheme="minorEastAsia" w:eastAsiaTheme="minorEastAsia" w:cstheme="minorEastAsia"/>
                <w:snapToGrid w:val="0"/>
                <w:color w:val="auto"/>
                <w:kern w:val="0"/>
                <w:sz w:val="20"/>
                <w:szCs w:val="20"/>
              </w:rPr>
              <w:t>募集资金专户</w:t>
            </w:r>
          </w:p>
        </w:tc>
        <w:tc>
          <w:tcPr>
            <w:tcW w:w="2295" w:type="dxa"/>
            <w:tcBorders>
              <w:top w:val="dashSmallGap" w:color="auto" w:sz="4" w:space="0"/>
              <w:left w:val="dashSmallGap" w:color="auto" w:sz="4" w:space="0"/>
              <w:bottom w:val="dashSmallGap" w:color="auto" w:sz="4" w:space="0"/>
              <w:right w:val="dashSmallGap" w:color="auto" w:sz="4" w:space="0"/>
            </w:tcBorders>
            <w:noWrap w:val="0"/>
            <w:vAlign w:val="center"/>
          </w:tcPr>
          <w:p>
            <w:pPr>
              <w:widowControl/>
              <w:spacing w:line="240" w:lineRule="auto"/>
              <w:jc w:val="center"/>
              <w:rPr>
                <w:rFonts w:hint="eastAsia" w:asciiTheme="minorEastAsia" w:hAnsiTheme="minorEastAsia" w:eastAsiaTheme="minorEastAsia" w:cstheme="minorEastAsia"/>
                <w:snapToGrid w:val="0"/>
                <w:color w:val="auto"/>
                <w:kern w:val="0"/>
                <w:sz w:val="20"/>
                <w:szCs w:val="20"/>
              </w:rPr>
            </w:pPr>
            <w:r>
              <w:rPr>
                <w:rFonts w:hint="eastAsia" w:asciiTheme="minorEastAsia" w:hAnsiTheme="minorEastAsia" w:eastAsiaTheme="minorEastAsia" w:cstheme="minorEastAsia"/>
                <w:snapToGrid w:val="0"/>
                <w:color w:val="auto"/>
                <w:kern w:val="0"/>
                <w:sz w:val="20"/>
                <w:szCs w:val="20"/>
              </w:rPr>
              <w:t>475470328000</w:t>
            </w:r>
          </w:p>
          <w:p>
            <w:pPr>
              <w:widowControl/>
              <w:spacing w:line="240" w:lineRule="auto"/>
              <w:jc w:val="center"/>
              <w:rPr>
                <w:rFonts w:hint="eastAsia" w:asciiTheme="minorEastAsia" w:hAnsiTheme="minorEastAsia" w:eastAsiaTheme="minorEastAsia" w:cstheme="minorEastAsia"/>
                <w:snapToGrid w:val="0"/>
                <w:color w:val="auto"/>
                <w:kern w:val="0"/>
                <w:sz w:val="20"/>
                <w:szCs w:val="20"/>
              </w:rPr>
            </w:pPr>
            <w:r>
              <w:rPr>
                <w:rFonts w:hint="eastAsia" w:asciiTheme="minorEastAsia" w:hAnsiTheme="minorEastAsia" w:eastAsiaTheme="minorEastAsia" w:cstheme="minorEastAsia"/>
                <w:snapToGrid w:val="0"/>
                <w:color w:val="auto"/>
                <w:kern w:val="0"/>
                <w:sz w:val="20"/>
                <w:szCs w:val="20"/>
              </w:rPr>
              <w:t>[注1]</w:t>
            </w:r>
          </w:p>
        </w:tc>
        <w:tc>
          <w:tcPr>
            <w:tcW w:w="1395" w:type="dxa"/>
            <w:tcBorders>
              <w:top w:val="dashSmallGap" w:color="auto" w:sz="4" w:space="0"/>
              <w:left w:val="dashSmallGap" w:color="auto" w:sz="4" w:space="0"/>
              <w:bottom w:val="dashSmallGap" w:color="auto" w:sz="4" w:space="0"/>
              <w:right w:val="dashSmallGap" w:color="auto" w:sz="4" w:space="0"/>
            </w:tcBorders>
            <w:noWrap w:val="0"/>
            <w:vAlign w:val="center"/>
          </w:tcPr>
          <w:p>
            <w:pPr>
              <w:widowControl/>
              <w:spacing w:line="240" w:lineRule="auto"/>
              <w:jc w:val="right"/>
              <w:rPr>
                <w:rFonts w:hint="default" w:ascii="Times New Roman" w:hAnsi="Times New Roman" w:cs="Times New Roman" w:eastAsiaTheme="minorEastAsia"/>
                <w:snapToGrid w:val="0"/>
                <w:color w:val="auto"/>
                <w:kern w:val="0"/>
                <w:sz w:val="20"/>
                <w:szCs w:val="20"/>
              </w:rPr>
            </w:pPr>
            <w:r>
              <w:rPr>
                <w:rFonts w:hint="default" w:ascii="Times New Roman" w:hAnsi="Times New Roman" w:cs="Times New Roman" w:eastAsiaTheme="minorEastAsia"/>
                <w:snapToGrid w:val="0"/>
                <w:color w:val="auto"/>
                <w:kern w:val="0"/>
                <w:sz w:val="20"/>
                <w:szCs w:val="20"/>
              </w:rPr>
              <w:t>2,621,929.90</w:t>
            </w:r>
          </w:p>
        </w:tc>
        <w:tc>
          <w:tcPr>
            <w:tcW w:w="1340" w:type="dxa"/>
            <w:tcBorders>
              <w:top w:val="dashSmallGap" w:color="auto" w:sz="4" w:space="0"/>
              <w:left w:val="dashSmallGap" w:color="auto" w:sz="4" w:space="0"/>
              <w:bottom w:val="dashSmallGap" w:color="auto" w:sz="4" w:space="0"/>
            </w:tcBorders>
            <w:noWrap w:val="0"/>
            <w:vAlign w:val="center"/>
          </w:tcPr>
          <w:p>
            <w:pPr>
              <w:widowControl/>
              <w:spacing w:line="240" w:lineRule="auto"/>
              <w:jc w:val="left"/>
              <w:rPr>
                <w:rFonts w:hint="eastAsia" w:asciiTheme="minorEastAsia" w:hAnsiTheme="minorEastAsia" w:eastAsiaTheme="minorEastAsia" w:cstheme="minorEastAsia"/>
                <w:snapToGrid w:val="0"/>
                <w:color w:val="auto"/>
                <w:kern w:val="0"/>
                <w:sz w:val="20"/>
                <w:szCs w:val="20"/>
              </w:rPr>
            </w:pPr>
            <w:r>
              <w:rPr>
                <w:rFonts w:hint="eastAsia" w:asciiTheme="minorEastAsia" w:hAnsiTheme="minorEastAsia" w:eastAsiaTheme="minorEastAsia" w:cstheme="minorEastAsia"/>
                <w:snapToGrid w:val="0"/>
                <w:color w:val="auto"/>
                <w:kern w:val="0"/>
                <w:sz w:val="20"/>
                <w:szCs w:val="20"/>
              </w:rPr>
              <w:t>原料药二期项目</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5" w:hRule="atLeast"/>
        </w:trPr>
        <w:tc>
          <w:tcPr>
            <w:tcW w:w="1384" w:type="dxa"/>
            <w:tcBorders>
              <w:top w:val="dashSmallGap" w:color="auto" w:sz="4" w:space="0"/>
              <w:bottom w:val="dashSmallGap" w:color="auto" w:sz="4" w:space="0"/>
              <w:right w:val="dashSmallGap" w:color="auto" w:sz="4" w:space="0"/>
            </w:tcBorders>
            <w:noWrap w:val="0"/>
            <w:vAlign w:val="center"/>
          </w:tcPr>
          <w:p>
            <w:pPr>
              <w:widowControl/>
              <w:spacing w:line="240" w:lineRule="auto"/>
              <w:jc w:val="left"/>
              <w:rPr>
                <w:rFonts w:hint="eastAsia" w:asciiTheme="minorEastAsia" w:hAnsiTheme="minorEastAsia" w:eastAsiaTheme="minorEastAsia" w:cstheme="minorEastAsia"/>
                <w:snapToGrid w:val="0"/>
                <w:color w:val="auto"/>
                <w:kern w:val="0"/>
                <w:sz w:val="20"/>
                <w:szCs w:val="20"/>
              </w:rPr>
            </w:pPr>
            <w:r>
              <w:rPr>
                <w:rFonts w:hint="eastAsia" w:asciiTheme="minorEastAsia" w:hAnsiTheme="minorEastAsia" w:eastAsiaTheme="minorEastAsia" w:cstheme="minorEastAsia"/>
                <w:snapToGrid w:val="0"/>
                <w:color w:val="auto"/>
                <w:kern w:val="0"/>
                <w:sz w:val="20"/>
                <w:szCs w:val="20"/>
              </w:rPr>
              <w:t>江苏吴中医药集团有限公司苏州制药厂</w:t>
            </w:r>
          </w:p>
        </w:tc>
        <w:tc>
          <w:tcPr>
            <w:tcW w:w="1418" w:type="dxa"/>
            <w:tcBorders>
              <w:top w:val="dashSmallGap" w:color="auto" w:sz="4" w:space="0"/>
              <w:left w:val="dashSmallGap" w:color="auto" w:sz="4" w:space="0"/>
              <w:bottom w:val="dashSmallGap" w:color="auto" w:sz="4" w:space="0"/>
              <w:right w:val="dashSmallGap" w:color="auto" w:sz="4" w:space="0"/>
            </w:tcBorders>
            <w:noWrap w:val="0"/>
            <w:vAlign w:val="center"/>
          </w:tcPr>
          <w:p>
            <w:pPr>
              <w:widowControl/>
              <w:spacing w:line="240" w:lineRule="auto"/>
              <w:jc w:val="left"/>
              <w:rPr>
                <w:rFonts w:hint="eastAsia" w:asciiTheme="minorEastAsia" w:hAnsiTheme="minorEastAsia" w:eastAsiaTheme="minorEastAsia" w:cstheme="minorEastAsia"/>
                <w:snapToGrid w:val="0"/>
                <w:color w:val="auto"/>
                <w:kern w:val="0"/>
                <w:sz w:val="20"/>
                <w:szCs w:val="20"/>
              </w:rPr>
            </w:pPr>
            <w:r>
              <w:rPr>
                <w:rFonts w:hint="eastAsia" w:asciiTheme="minorEastAsia" w:hAnsiTheme="minorEastAsia" w:eastAsiaTheme="minorEastAsia" w:cstheme="minorEastAsia"/>
                <w:snapToGrid w:val="0"/>
                <w:color w:val="auto"/>
                <w:kern w:val="0"/>
                <w:sz w:val="20"/>
                <w:szCs w:val="20"/>
              </w:rPr>
              <w:t>中国银行股份有限公司苏州吴中支行</w:t>
            </w:r>
          </w:p>
        </w:tc>
        <w:tc>
          <w:tcPr>
            <w:tcW w:w="1011" w:type="dxa"/>
            <w:tcBorders>
              <w:top w:val="dashSmallGap" w:color="auto" w:sz="4" w:space="0"/>
              <w:left w:val="dashSmallGap" w:color="auto" w:sz="4" w:space="0"/>
              <w:bottom w:val="dashSmallGap" w:color="auto" w:sz="4" w:space="0"/>
              <w:right w:val="dashSmallGap" w:color="auto" w:sz="4" w:space="0"/>
            </w:tcBorders>
            <w:noWrap w:val="0"/>
            <w:vAlign w:val="center"/>
          </w:tcPr>
          <w:p>
            <w:pPr>
              <w:widowControl/>
              <w:spacing w:line="240" w:lineRule="auto"/>
              <w:jc w:val="left"/>
              <w:rPr>
                <w:rFonts w:hint="eastAsia" w:asciiTheme="minorEastAsia" w:hAnsiTheme="minorEastAsia" w:eastAsiaTheme="minorEastAsia" w:cstheme="minorEastAsia"/>
                <w:snapToGrid w:val="0"/>
                <w:color w:val="auto"/>
                <w:kern w:val="0"/>
                <w:sz w:val="20"/>
                <w:szCs w:val="20"/>
              </w:rPr>
            </w:pPr>
            <w:r>
              <w:rPr>
                <w:rFonts w:hint="eastAsia" w:asciiTheme="minorEastAsia" w:hAnsiTheme="minorEastAsia" w:eastAsiaTheme="minorEastAsia" w:cstheme="minorEastAsia"/>
                <w:snapToGrid w:val="0"/>
                <w:color w:val="auto"/>
                <w:kern w:val="0"/>
                <w:sz w:val="20"/>
                <w:szCs w:val="20"/>
              </w:rPr>
              <w:t>募集资金专户</w:t>
            </w:r>
          </w:p>
        </w:tc>
        <w:tc>
          <w:tcPr>
            <w:tcW w:w="2295" w:type="dxa"/>
            <w:tcBorders>
              <w:top w:val="dashSmallGap" w:color="auto" w:sz="4" w:space="0"/>
              <w:left w:val="dashSmallGap" w:color="auto" w:sz="4" w:space="0"/>
              <w:bottom w:val="dashSmallGap" w:color="auto" w:sz="4" w:space="0"/>
              <w:right w:val="dashSmallGap" w:color="auto" w:sz="4" w:space="0"/>
            </w:tcBorders>
            <w:noWrap w:val="0"/>
            <w:vAlign w:val="center"/>
          </w:tcPr>
          <w:p>
            <w:pPr>
              <w:widowControl/>
              <w:spacing w:line="240" w:lineRule="auto"/>
              <w:jc w:val="center"/>
              <w:rPr>
                <w:rFonts w:hint="eastAsia" w:asciiTheme="minorEastAsia" w:hAnsiTheme="minorEastAsia" w:eastAsiaTheme="minorEastAsia" w:cstheme="minorEastAsia"/>
                <w:snapToGrid w:val="0"/>
                <w:color w:val="auto"/>
                <w:kern w:val="0"/>
                <w:sz w:val="20"/>
                <w:szCs w:val="20"/>
              </w:rPr>
            </w:pPr>
            <w:r>
              <w:rPr>
                <w:rFonts w:hint="eastAsia" w:asciiTheme="minorEastAsia" w:hAnsiTheme="minorEastAsia" w:eastAsiaTheme="minorEastAsia" w:cstheme="minorEastAsia"/>
                <w:snapToGrid w:val="0"/>
                <w:color w:val="auto"/>
                <w:kern w:val="0"/>
                <w:sz w:val="20"/>
                <w:szCs w:val="20"/>
              </w:rPr>
              <w:t>487167582565</w:t>
            </w:r>
          </w:p>
        </w:tc>
        <w:tc>
          <w:tcPr>
            <w:tcW w:w="1395" w:type="dxa"/>
            <w:tcBorders>
              <w:top w:val="dashSmallGap" w:color="auto" w:sz="4" w:space="0"/>
              <w:left w:val="dashSmallGap" w:color="auto" w:sz="4" w:space="0"/>
              <w:bottom w:val="dashSmallGap" w:color="auto" w:sz="4" w:space="0"/>
              <w:right w:val="dashSmallGap" w:color="auto" w:sz="4" w:space="0"/>
            </w:tcBorders>
            <w:noWrap w:val="0"/>
            <w:vAlign w:val="center"/>
          </w:tcPr>
          <w:p>
            <w:pPr>
              <w:widowControl/>
              <w:spacing w:line="240" w:lineRule="auto"/>
              <w:jc w:val="left"/>
              <w:rPr>
                <w:rFonts w:hint="eastAsia" w:asciiTheme="minorEastAsia" w:hAnsiTheme="minorEastAsia" w:eastAsiaTheme="minorEastAsia" w:cstheme="minorEastAsia"/>
                <w:snapToGrid w:val="0"/>
                <w:color w:val="auto"/>
                <w:kern w:val="0"/>
                <w:sz w:val="20"/>
                <w:szCs w:val="20"/>
              </w:rPr>
            </w:pPr>
            <w:r>
              <w:rPr>
                <w:rFonts w:hint="eastAsia" w:asciiTheme="minorEastAsia" w:hAnsiTheme="minorEastAsia" w:eastAsiaTheme="minorEastAsia" w:cstheme="minorEastAsia"/>
                <w:snapToGrid w:val="0"/>
                <w:color w:val="auto"/>
                <w:kern w:val="0"/>
                <w:sz w:val="20"/>
                <w:szCs w:val="20"/>
              </w:rPr>
              <w:t>已注销[注6]</w:t>
            </w:r>
          </w:p>
        </w:tc>
        <w:tc>
          <w:tcPr>
            <w:tcW w:w="1340" w:type="dxa"/>
            <w:tcBorders>
              <w:top w:val="dashSmallGap" w:color="auto" w:sz="4" w:space="0"/>
              <w:left w:val="dashSmallGap" w:color="auto" w:sz="4" w:space="0"/>
              <w:bottom w:val="dashSmallGap" w:color="auto" w:sz="4" w:space="0"/>
            </w:tcBorders>
            <w:noWrap w:val="0"/>
            <w:vAlign w:val="center"/>
          </w:tcPr>
          <w:p>
            <w:pPr>
              <w:widowControl/>
              <w:spacing w:line="240" w:lineRule="auto"/>
              <w:jc w:val="left"/>
              <w:rPr>
                <w:rFonts w:hint="eastAsia" w:asciiTheme="minorEastAsia" w:hAnsiTheme="minorEastAsia" w:eastAsiaTheme="minorEastAsia" w:cstheme="minorEastAsia"/>
                <w:snapToGrid w:val="0"/>
                <w:color w:val="auto"/>
                <w:kern w:val="0"/>
                <w:sz w:val="20"/>
                <w:szCs w:val="20"/>
              </w:rPr>
            </w:pPr>
            <w:r>
              <w:rPr>
                <w:rFonts w:hint="eastAsia" w:asciiTheme="minorEastAsia" w:hAnsiTheme="minorEastAsia" w:eastAsiaTheme="minorEastAsia" w:cstheme="minorEastAsia"/>
                <w:snapToGrid w:val="0"/>
                <w:color w:val="auto"/>
                <w:kern w:val="0"/>
                <w:sz w:val="20"/>
                <w:szCs w:val="20"/>
              </w:rPr>
              <w:t>原料药（河东）、制剂（河西）调整改建项目</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5" w:hRule="atLeast"/>
        </w:trPr>
        <w:tc>
          <w:tcPr>
            <w:tcW w:w="1384" w:type="dxa"/>
            <w:tcBorders>
              <w:top w:val="dashSmallGap" w:color="auto" w:sz="4" w:space="0"/>
              <w:bottom w:val="dashSmallGap" w:color="auto" w:sz="4" w:space="0"/>
              <w:right w:val="dashSmallGap" w:color="auto" w:sz="4" w:space="0"/>
            </w:tcBorders>
            <w:noWrap w:val="0"/>
            <w:vAlign w:val="center"/>
          </w:tcPr>
          <w:p>
            <w:pPr>
              <w:widowControl/>
              <w:spacing w:line="240" w:lineRule="auto"/>
              <w:jc w:val="left"/>
              <w:rPr>
                <w:rFonts w:hint="eastAsia" w:asciiTheme="minorEastAsia" w:hAnsiTheme="minorEastAsia" w:eastAsiaTheme="minorEastAsia" w:cstheme="minorEastAsia"/>
                <w:snapToGrid w:val="0"/>
                <w:color w:val="auto"/>
                <w:kern w:val="0"/>
                <w:sz w:val="20"/>
                <w:szCs w:val="20"/>
              </w:rPr>
            </w:pPr>
            <w:r>
              <w:rPr>
                <w:rFonts w:hint="eastAsia" w:asciiTheme="minorEastAsia" w:hAnsiTheme="minorEastAsia" w:eastAsiaTheme="minorEastAsia" w:cstheme="minorEastAsia"/>
                <w:snapToGrid w:val="0"/>
                <w:color w:val="auto"/>
                <w:kern w:val="0"/>
                <w:sz w:val="20"/>
                <w:szCs w:val="20"/>
              </w:rPr>
              <w:t>江苏吴中医药销售有限公司</w:t>
            </w:r>
          </w:p>
        </w:tc>
        <w:tc>
          <w:tcPr>
            <w:tcW w:w="1418" w:type="dxa"/>
            <w:tcBorders>
              <w:top w:val="dashSmallGap" w:color="auto" w:sz="4" w:space="0"/>
              <w:left w:val="dashSmallGap" w:color="auto" w:sz="4" w:space="0"/>
              <w:bottom w:val="dashSmallGap" w:color="auto" w:sz="4" w:space="0"/>
              <w:right w:val="dashSmallGap" w:color="auto" w:sz="4" w:space="0"/>
            </w:tcBorders>
            <w:noWrap w:val="0"/>
            <w:vAlign w:val="center"/>
          </w:tcPr>
          <w:p>
            <w:pPr>
              <w:widowControl/>
              <w:spacing w:line="240" w:lineRule="auto"/>
              <w:jc w:val="left"/>
              <w:rPr>
                <w:rFonts w:hint="eastAsia" w:asciiTheme="minorEastAsia" w:hAnsiTheme="minorEastAsia" w:eastAsiaTheme="minorEastAsia" w:cstheme="minorEastAsia"/>
                <w:snapToGrid w:val="0"/>
                <w:color w:val="auto"/>
                <w:kern w:val="0"/>
                <w:sz w:val="20"/>
                <w:szCs w:val="20"/>
              </w:rPr>
            </w:pPr>
            <w:r>
              <w:rPr>
                <w:rFonts w:hint="eastAsia" w:asciiTheme="minorEastAsia" w:hAnsiTheme="minorEastAsia" w:eastAsiaTheme="minorEastAsia" w:cstheme="minorEastAsia"/>
                <w:snapToGrid w:val="0"/>
                <w:color w:val="auto"/>
                <w:kern w:val="0"/>
                <w:sz w:val="20"/>
                <w:szCs w:val="20"/>
              </w:rPr>
              <w:t>中国银行股份有限公司苏州吴中支行</w:t>
            </w:r>
          </w:p>
        </w:tc>
        <w:tc>
          <w:tcPr>
            <w:tcW w:w="1011" w:type="dxa"/>
            <w:tcBorders>
              <w:top w:val="dashSmallGap" w:color="auto" w:sz="4" w:space="0"/>
              <w:left w:val="dashSmallGap" w:color="auto" w:sz="4" w:space="0"/>
              <w:bottom w:val="dashSmallGap" w:color="auto" w:sz="4" w:space="0"/>
              <w:right w:val="dashSmallGap" w:color="auto" w:sz="4" w:space="0"/>
            </w:tcBorders>
            <w:noWrap w:val="0"/>
            <w:vAlign w:val="center"/>
          </w:tcPr>
          <w:p>
            <w:pPr>
              <w:widowControl/>
              <w:spacing w:line="240" w:lineRule="auto"/>
              <w:jc w:val="left"/>
              <w:rPr>
                <w:rFonts w:hint="eastAsia" w:asciiTheme="minorEastAsia" w:hAnsiTheme="minorEastAsia" w:eastAsiaTheme="minorEastAsia" w:cstheme="minorEastAsia"/>
                <w:snapToGrid w:val="0"/>
                <w:color w:val="auto"/>
                <w:kern w:val="0"/>
                <w:sz w:val="20"/>
                <w:szCs w:val="20"/>
              </w:rPr>
            </w:pPr>
            <w:r>
              <w:rPr>
                <w:rFonts w:hint="eastAsia" w:asciiTheme="minorEastAsia" w:hAnsiTheme="minorEastAsia" w:eastAsiaTheme="minorEastAsia" w:cstheme="minorEastAsia"/>
                <w:snapToGrid w:val="0"/>
                <w:color w:val="auto"/>
                <w:kern w:val="0"/>
                <w:sz w:val="20"/>
                <w:szCs w:val="20"/>
              </w:rPr>
              <w:t>募集资金专户</w:t>
            </w:r>
          </w:p>
        </w:tc>
        <w:tc>
          <w:tcPr>
            <w:tcW w:w="2295" w:type="dxa"/>
            <w:tcBorders>
              <w:top w:val="dashSmallGap" w:color="auto" w:sz="4" w:space="0"/>
              <w:left w:val="dashSmallGap" w:color="auto" w:sz="4" w:space="0"/>
              <w:bottom w:val="dashSmallGap" w:color="auto" w:sz="4" w:space="0"/>
              <w:right w:val="dashSmallGap" w:color="auto" w:sz="4" w:space="0"/>
            </w:tcBorders>
            <w:noWrap w:val="0"/>
            <w:vAlign w:val="center"/>
          </w:tcPr>
          <w:p>
            <w:pPr>
              <w:widowControl/>
              <w:spacing w:line="240" w:lineRule="auto"/>
              <w:jc w:val="center"/>
              <w:rPr>
                <w:rFonts w:hint="eastAsia" w:asciiTheme="minorEastAsia" w:hAnsiTheme="minorEastAsia" w:eastAsiaTheme="minorEastAsia" w:cstheme="minorEastAsia"/>
                <w:snapToGrid w:val="0"/>
                <w:color w:val="auto"/>
                <w:kern w:val="0"/>
                <w:sz w:val="20"/>
                <w:szCs w:val="20"/>
              </w:rPr>
            </w:pPr>
            <w:r>
              <w:rPr>
                <w:rFonts w:hint="eastAsia" w:asciiTheme="minorEastAsia" w:hAnsiTheme="minorEastAsia" w:eastAsiaTheme="minorEastAsia" w:cstheme="minorEastAsia"/>
                <w:snapToGrid w:val="0"/>
                <w:color w:val="auto"/>
                <w:kern w:val="0"/>
                <w:sz w:val="20"/>
                <w:szCs w:val="20"/>
              </w:rPr>
              <w:t>530067627287</w:t>
            </w:r>
          </w:p>
        </w:tc>
        <w:tc>
          <w:tcPr>
            <w:tcW w:w="1395" w:type="dxa"/>
            <w:tcBorders>
              <w:top w:val="dashSmallGap" w:color="auto" w:sz="4" w:space="0"/>
              <w:left w:val="dashSmallGap" w:color="auto" w:sz="4" w:space="0"/>
              <w:bottom w:val="dashSmallGap" w:color="auto" w:sz="4" w:space="0"/>
              <w:right w:val="dashSmallGap" w:color="auto" w:sz="4" w:space="0"/>
            </w:tcBorders>
            <w:noWrap w:val="0"/>
            <w:vAlign w:val="center"/>
          </w:tcPr>
          <w:p>
            <w:pPr>
              <w:widowControl/>
              <w:spacing w:line="240" w:lineRule="auto"/>
              <w:jc w:val="left"/>
              <w:rPr>
                <w:rFonts w:hint="eastAsia" w:asciiTheme="minorEastAsia" w:hAnsiTheme="minorEastAsia" w:eastAsiaTheme="minorEastAsia" w:cstheme="minorEastAsia"/>
                <w:snapToGrid w:val="0"/>
                <w:color w:val="auto"/>
                <w:kern w:val="0"/>
                <w:sz w:val="20"/>
                <w:szCs w:val="20"/>
              </w:rPr>
            </w:pPr>
            <w:r>
              <w:rPr>
                <w:rFonts w:hint="eastAsia" w:asciiTheme="minorEastAsia" w:hAnsiTheme="minorEastAsia" w:eastAsiaTheme="minorEastAsia" w:cstheme="minorEastAsia"/>
                <w:snapToGrid w:val="0"/>
                <w:color w:val="auto"/>
                <w:kern w:val="0"/>
                <w:sz w:val="20"/>
                <w:szCs w:val="20"/>
              </w:rPr>
              <w:t>已注销[注6]</w:t>
            </w:r>
          </w:p>
        </w:tc>
        <w:tc>
          <w:tcPr>
            <w:tcW w:w="1340" w:type="dxa"/>
            <w:tcBorders>
              <w:top w:val="dashSmallGap" w:color="auto" w:sz="4" w:space="0"/>
              <w:left w:val="dashSmallGap" w:color="auto" w:sz="4" w:space="0"/>
              <w:bottom w:val="dashSmallGap" w:color="auto" w:sz="4" w:space="0"/>
            </w:tcBorders>
            <w:noWrap w:val="0"/>
            <w:vAlign w:val="center"/>
          </w:tcPr>
          <w:p>
            <w:pPr>
              <w:widowControl/>
              <w:spacing w:line="240" w:lineRule="auto"/>
              <w:jc w:val="left"/>
              <w:rPr>
                <w:rFonts w:hint="eastAsia" w:asciiTheme="minorEastAsia" w:hAnsiTheme="minorEastAsia" w:eastAsiaTheme="minorEastAsia" w:cstheme="minorEastAsia"/>
                <w:snapToGrid w:val="0"/>
                <w:color w:val="auto"/>
                <w:kern w:val="0"/>
                <w:sz w:val="20"/>
                <w:szCs w:val="20"/>
              </w:rPr>
            </w:pPr>
            <w:r>
              <w:rPr>
                <w:rFonts w:hint="eastAsia" w:asciiTheme="minorEastAsia" w:hAnsiTheme="minorEastAsia" w:eastAsiaTheme="minorEastAsia" w:cstheme="minorEastAsia"/>
                <w:snapToGrid w:val="0"/>
                <w:color w:val="auto"/>
                <w:kern w:val="0"/>
                <w:sz w:val="20"/>
                <w:szCs w:val="20"/>
              </w:rPr>
              <w:t>药品自动化立体仓库项目</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5" w:hRule="atLeast"/>
        </w:trPr>
        <w:tc>
          <w:tcPr>
            <w:tcW w:w="1384" w:type="dxa"/>
            <w:tcBorders>
              <w:top w:val="dashSmallGap" w:color="auto" w:sz="4" w:space="0"/>
              <w:bottom w:val="dashSmallGap" w:color="auto" w:sz="4" w:space="0"/>
              <w:right w:val="dashSmallGap" w:color="auto" w:sz="4" w:space="0"/>
            </w:tcBorders>
            <w:noWrap w:val="0"/>
            <w:vAlign w:val="center"/>
          </w:tcPr>
          <w:p>
            <w:pPr>
              <w:widowControl/>
              <w:spacing w:line="240" w:lineRule="auto"/>
              <w:jc w:val="left"/>
              <w:rPr>
                <w:rFonts w:hint="eastAsia" w:asciiTheme="minorEastAsia" w:hAnsiTheme="minorEastAsia" w:eastAsiaTheme="minorEastAsia" w:cstheme="minorEastAsia"/>
                <w:snapToGrid w:val="0"/>
                <w:color w:val="auto"/>
                <w:kern w:val="0"/>
                <w:sz w:val="20"/>
                <w:szCs w:val="20"/>
              </w:rPr>
            </w:pPr>
            <w:r>
              <w:rPr>
                <w:rFonts w:hint="eastAsia" w:asciiTheme="minorEastAsia" w:hAnsiTheme="minorEastAsia" w:eastAsiaTheme="minorEastAsia" w:cstheme="minorEastAsia"/>
                <w:snapToGrid w:val="0"/>
                <w:color w:val="auto"/>
                <w:kern w:val="0"/>
                <w:sz w:val="20"/>
                <w:szCs w:val="20"/>
              </w:rPr>
              <w:t>江苏吴中医药医药集团公司</w:t>
            </w:r>
          </w:p>
        </w:tc>
        <w:tc>
          <w:tcPr>
            <w:tcW w:w="1418" w:type="dxa"/>
            <w:tcBorders>
              <w:top w:val="dashSmallGap" w:color="auto" w:sz="4" w:space="0"/>
              <w:left w:val="dashSmallGap" w:color="auto" w:sz="4" w:space="0"/>
              <w:bottom w:val="dashSmallGap" w:color="auto" w:sz="4" w:space="0"/>
              <w:right w:val="dashSmallGap" w:color="auto" w:sz="4" w:space="0"/>
            </w:tcBorders>
            <w:noWrap w:val="0"/>
            <w:vAlign w:val="center"/>
          </w:tcPr>
          <w:p>
            <w:pPr>
              <w:widowControl/>
              <w:spacing w:line="240" w:lineRule="auto"/>
              <w:jc w:val="left"/>
              <w:rPr>
                <w:rFonts w:hint="eastAsia" w:asciiTheme="minorEastAsia" w:hAnsiTheme="minorEastAsia" w:eastAsiaTheme="minorEastAsia" w:cstheme="minorEastAsia"/>
                <w:snapToGrid w:val="0"/>
                <w:color w:val="auto"/>
                <w:kern w:val="0"/>
                <w:sz w:val="20"/>
                <w:szCs w:val="20"/>
              </w:rPr>
            </w:pPr>
            <w:r>
              <w:rPr>
                <w:rFonts w:hint="eastAsia" w:asciiTheme="minorEastAsia" w:hAnsiTheme="minorEastAsia" w:eastAsiaTheme="minorEastAsia" w:cstheme="minorEastAsia"/>
                <w:snapToGrid w:val="0"/>
                <w:color w:val="auto"/>
                <w:kern w:val="0"/>
                <w:sz w:val="20"/>
                <w:szCs w:val="20"/>
              </w:rPr>
              <w:t>招商银行股份有限公司苏州吴中支行</w:t>
            </w:r>
          </w:p>
        </w:tc>
        <w:tc>
          <w:tcPr>
            <w:tcW w:w="1011" w:type="dxa"/>
            <w:tcBorders>
              <w:top w:val="dashSmallGap" w:color="auto" w:sz="4" w:space="0"/>
              <w:left w:val="dashSmallGap" w:color="auto" w:sz="4" w:space="0"/>
              <w:bottom w:val="dashSmallGap" w:color="auto" w:sz="4" w:space="0"/>
              <w:right w:val="dashSmallGap" w:color="auto" w:sz="4" w:space="0"/>
            </w:tcBorders>
            <w:noWrap w:val="0"/>
            <w:vAlign w:val="center"/>
          </w:tcPr>
          <w:p>
            <w:pPr>
              <w:widowControl/>
              <w:spacing w:line="240" w:lineRule="auto"/>
              <w:jc w:val="left"/>
              <w:rPr>
                <w:rFonts w:hint="eastAsia" w:asciiTheme="minorEastAsia" w:hAnsiTheme="minorEastAsia" w:eastAsiaTheme="minorEastAsia" w:cstheme="minorEastAsia"/>
                <w:snapToGrid w:val="0"/>
                <w:color w:val="auto"/>
                <w:kern w:val="0"/>
                <w:sz w:val="20"/>
                <w:szCs w:val="20"/>
              </w:rPr>
            </w:pPr>
            <w:r>
              <w:rPr>
                <w:rFonts w:hint="eastAsia" w:asciiTheme="minorEastAsia" w:hAnsiTheme="minorEastAsia" w:eastAsiaTheme="minorEastAsia" w:cstheme="minorEastAsia"/>
                <w:snapToGrid w:val="0"/>
                <w:color w:val="auto"/>
                <w:kern w:val="0"/>
                <w:sz w:val="20"/>
                <w:szCs w:val="20"/>
              </w:rPr>
              <w:t>募集资金专户</w:t>
            </w:r>
          </w:p>
        </w:tc>
        <w:tc>
          <w:tcPr>
            <w:tcW w:w="2295" w:type="dxa"/>
            <w:tcBorders>
              <w:top w:val="dashSmallGap" w:color="auto" w:sz="4" w:space="0"/>
              <w:left w:val="dashSmallGap" w:color="auto" w:sz="4" w:space="0"/>
              <w:bottom w:val="dashSmallGap" w:color="auto" w:sz="4" w:space="0"/>
              <w:right w:val="dashSmallGap" w:color="auto" w:sz="4" w:space="0"/>
            </w:tcBorders>
            <w:noWrap w:val="0"/>
            <w:vAlign w:val="center"/>
          </w:tcPr>
          <w:p>
            <w:pPr>
              <w:widowControl/>
              <w:spacing w:line="240" w:lineRule="auto"/>
              <w:jc w:val="center"/>
              <w:rPr>
                <w:rFonts w:hint="eastAsia" w:asciiTheme="minorEastAsia" w:hAnsiTheme="minorEastAsia" w:eastAsiaTheme="minorEastAsia" w:cstheme="minorEastAsia"/>
                <w:snapToGrid w:val="0"/>
                <w:color w:val="auto"/>
                <w:kern w:val="0"/>
                <w:sz w:val="20"/>
                <w:szCs w:val="20"/>
              </w:rPr>
            </w:pPr>
            <w:r>
              <w:rPr>
                <w:rFonts w:hint="eastAsia" w:asciiTheme="minorEastAsia" w:hAnsiTheme="minorEastAsia" w:eastAsiaTheme="minorEastAsia" w:cstheme="minorEastAsia"/>
                <w:snapToGrid w:val="0"/>
                <w:color w:val="auto"/>
                <w:kern w:val="0"/>
                <w:sz w:val="20"/>
                <w:szCs w:val="20"/>
              </w:rPr>
              <w:t>512902474610829</w:t>
            </w:r>
          </w:p>
        </w:tc>
        <w:tc>
          <w:tcPr>
            <w:tcW w:w="1395" w:type="dxa"/>
            <w:tcBorders>
              <w:top w:val="dashSmallGap" w:color="auto" w:sz="4" w:space="0"/>
              <w:left w:val="dashSmallGap" w:color="auto" w:sz="4" w:space="0"/>
              <w:bottom w:val="dashSmallGap" w:color="auto" w:sz="4" w:space="0"/>
              <w:right w:val="dashSmallGap" w:color="auto" w:sz="4" w:space="0"/>
            </w:tcBorders>
            <w:noWrap w:val="0"/>
            <w:vAlign w:val="center"/>
          </w:tcPr>
          <w:p>
            <w:pPr>
              <w:widowControl/>
              <w:spacing w:line="240" w:lineRule="auto"/>
              <w:jc w:val="left"/>
              <w:rPr>
                <w:rFonts w:hint="eastAsia" w:asciiTheme="minorEastAsia" w:hAnsiTheme="minorEastAsia" w:eastAsiaTheme="minorEastAsia" w:cstheme="minorEastAsia"/>
                <w:snapToGrid w:val="0"/>
                <w:color w:val="auto"/>
                <w:kern w:val="0"/>
                <w:sz w:val="20"/>
                <w:szCs w:val="20"/>
              </w:rPr>
            </w:pPr>
            <w:r>
              <w:rPr>
                <w:rFonts w:hint="eastAsia" w:asciiTheme="minorEastAsia" w:hAnsiTheme="minorEastAsia" w:eastAsiaTheme="minorEastAsia" w:cstheme="minorEastAsia"/>
                <w:snapToGrid w:val="0"/>
                <w:color w:val="auto"/>
                <w:kern w:val="0"/>
                <w:sz w:val="20"/>
                <w:szCs w:val="20"/>
              </w:rPr>
              <w:t>已注销[注7]</w:t>
            </w:r>
          </w:p>
        </w:tc>
        <w:tc>
          <w:tcPr>
            <w:tcW w:w="1340" w:type="dxa"/>
            <w:tcBorders>
              <w:top w:val="dashSmallGap" w:color="auto" w:sz="4" w:space="0"/>
              <w:left w:val="dashSmallGap" w:color="auto" w:sz="4" w:space="0"/>
              <w:bottom w:val="dashSmallGap" w:color="auto" w:sz="4" w:space="0"/>
            </w:tcBorders>
            <w:noWrap w:val="0"/>
            <w:vAlign w:val="center"/>
          </w:tcPr>
          <w:p>
            <w:pPr>
              <w:widowControl/>
              <w:spacing w:line="240" w:lineRule="auto"/>
              <w:jc w:val="left"/>
              <w:rPr>
                <w:rFonts w:hint="eastAsia" w:asciiTheme="minorEastAsia" w:hAnsiTheme="minorEastAsia" w:eastAsiaTheme="minorEastAsia" w:cstheme="minorEastAsia"/>
                <w:snapToGrid w:val="0"/>
                <w:color w:val="auto"/>
                <w:kern w:val="0"/>
                <w:sz w:val="20"/>
                <w:szCs w:val="20"/>
              </w:rPr>
            </w:pPr>
            <w:r>
              <w:rPr>
                <w:rFonts w:hint="eastAsia" w:asciiTheme="minorEastAsia" w:hAnsiTheme="minorEastAsia" w:eastAsiaTheme="minorEastAsia" w:cstheme="minorEastAsia"/>
                <w:snapToGrid w:val="0"/>
                <w:color w:val="auto"/>
                <w:kern w:val="0"/>
                <w:sz w:val="20"/>
                <w:szCs w:val="20"/>
              </w:rPr>
              <w:t>医药营销网络建设项目</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5" w:hRule="atLeast"/>
        </w:trPr>
        <w:tc>
          <w:tcPr>
            <w:tcW w:w="1384" w:type="dxa"/>
            <w:tcBorders>
              <w:top w:val="dashSmallGap" w:color="auto" w:sz="4" w:space="0"/>
              <w:bottom w:val="dashSmallGap" w:color="auto" w:sz="4" w:space="0"/>
              <w:right w:val="dashSmallGap" w:color="auto" w:sz="4" w:space="0"/>
            </w:tcBorders>
            <w:noWrap w:val="0"/>
            <w:vAlign w:val="center"/>
          </w:tcPr>
          <w:p>
            <w:pPr>
              <w:widowControl/>
              <w:spacing w:line="240" w:lineRule="auto"/>
              <w:jc w:val="left"/>
              <w:rPr>
                <w:rFonts w:hint="eastAsia" w:asciiTheme="minorEastAsia" w:hAnsiTheme="minorEastAsia" w:eastAsiaTheme="minorEastAsia" w:cstheme="minorEastAsia"/>
                <w:snapToGrid w:val="0"/>
                <w:color w:val="auto"/>
                <w:kern w:val="0"/>
                <w:sz w:val="20"/>
                <w:szCs w:val="20"/>
              </w:rPr>
            </w:pPr>
            <w:r>
              <w:rPr>
                <w:rFonts w:hint="eastAsia" w:asciiTheme="minorEastAsia" w:hAnsiTheme="minorEastAsia" w:eastAsiaTheme="minorEastAsia" w:cstheme="minorEastAsia"/>
                <w:snapToGrid w:val="0"/>
                <w:color w:val="auto"/>
                <w:kern w:val="0"/>
                <w:sz w:val="20"/>
                <w:szCs w:val="20"/>
              </w:rPr>
              <w:t>江苏吴中医药集团有限公司</w:t>
            </w:r>
          </w:p>
        </w:tc>
        <w:tc>
          <w:tcPr>
            <w:tcW w:w="1418" w:type="dxa"/>
            <w:tcBorders>
              <w:top w:val="dashSmallGap" w:color="auto" w:sz="4" w:space="0"/>
              <w:left w:val="dashSmallGap" w:color="auto" w:sz="4" w:space="0"/>
              <w:bottom w:val="dashSmallGap" w:color="auto" w:sz="4" w:space="0"/>
              <w:right w:val="dashSmallGap" w:color="auto" w:sz="4" w:space="0"/>
            </w:tcBorders>
            <w:noWrap w:val="0"/>
            <w:vAlign w:val="center"/>
          </w:tcPr>
          <w:p>
            <w:pPr>
              <w:widowControl/>
              <w:spacing w:line="240" w:lineRule="auto"/>
              <w:jc w:val="left"/>
              <w:rPr>
                <w:rFonts w:hint="eastAsia" w:asciiTheme="minorEastAsia" w:hAnsiTheme="minorEastAsia" w:eastAsiaTheme="minorEastAsia" w:cstheme="minorEastAsia"/>
                <w:snapToGrid w:val="0"/>
                <w:color w:val="auto"/>
                <w:kern w:val="0"/>
                <w:sz w:val="20"/>
                <w:szCs w:val="20"/>
              </w:rPr>
            </w:pPr>
            <w:r>
              <w:rPr>
                <w:rFonts w:hint="eastAsia" w:asciiTheme="minorEastAsia" w:hAnsiTheme="minorEastAsia" w:eastAsiaTheme="minorEastAsia" w:cstheme="minorEastAsia"/>
                <w:snapToGrid w:val="0"/>
                <w:color w:val="auto"/>
                <w:kern w:val="0"/>
                <w:sz w:val="20"/>
                <w:szCs w:val="20"/>
              </w:rPr>
              <w:t>中国工商银行股份有限公司苏州吴中支行</w:t>
            </w:r>
          </w:p>
        </w:tc>
        <w:tc>
          <w:tcPr>
            <w:tcW w:w="1011" w:type="dxa"/>
            <w:tcBorders>
              <w:top w:val="dashSmallGap" w:color="auto" w:sz="4" w:space="0"/>
              <w:left w:val="dashSmallGap" w:color="auto" w:sz="4" w:space="0"/>
              <w:bottom w:val="dashSmallGap" w:color="auto" w:sz="4" w:space="0"/>
              <w:right w:val="dashSmallGap" w:color="auto" w:sz="4" w:space="0"/>
            </w:tcBorders>
            <w:noWrap w:val="0"/>
            <w:vAlign w:val="center"/>
          </w:tcPr>
          <w:p>
            <w:pPr>
              <w:widowControl/>
              <w:spacing w:line="240" w:lineRule="auto"/>
              <w:jc w:val="left"/>
              <w:rPr>
                <w:rFonts w:hint="eastAsia" w:asciiTheme="minorEastAsia" w:hAnsiTheme="minorEastAsia" w:eastAsiaTheme="minorEastAsia" w:cstheme="minorEastAsia"/>
                <w:snapToGrid w:val="0"/>
                <w:color w:val="auto"/>
                <w:kern w:val="0"/>
                <w:sz w:val="20"/>
                <w:szCs w:val="20"/>
              </w:rPr>
            </w:pPr>
            <w:r>
              <w:rPr>
                <w:rFonts w:hint="eastAsia" w:asciiTheme="minorEastAsia" w:hAnsiTheme="minorEastAsia" w:eastAsiaTheme="minorEastAsia" w:cstheme="minorEastAsia"/>
                <w:snapToGrid w:val="0"/>
                <w:color w:val="auto"/>
                <w:kern w:val="0"/>
                <w:sz w:val="20"/>
                <w:szCs w:val="20"/>
              </w:rPr>
              <w:t>募集资金专户</w:t>
            </w:r>
          </w:p>
        </w:tc>
        <w:tc>
          <w:tcPr>
            <w:tcW w:w="2295" w:type="dxa"/>
            <w:tcBorders>
              <w:top w:val="dashSmallGap" w:color="auto" w:sz="4" w:space="0"/>
              <w:left w:val="dashSmallGap" w:color="auto" w:sz="4" w:space="0"/>
              <w:bottom w:val="dashSmallGap" w:color="auto" w:sz="4" w:space="0"/>
              <w:right w:val="dashSmallGap" w:color="auto" w:sz="4" w:space="0"/>
            </w:tcBorders>
            <w:noWrap w:val="0"/>
            <w:vAlign w:val="center"/>
          </w:tcPr>
          <w:p>
            <w:pPr>
              <w:widowControl/>
              <w:spacing w:line="240" w:lineRule="auto"/>
              <w:jc w:val="center"/>
              <w:rPr>
                <w:rFonts w:hint="eastAsia" w:asciiTheme="minorEastAsia" w:hAnsiTheme="minorEastAsia" w:eastAsiaTheme="minorEastAsia" w:cstheme="minorEastAsia"/>
                <w:snapToGrid w:val="0"/>
                <w:color w:val="auto"/>
                <w:kern w:val="0"/>
                <w:sz w:val="20"/>
                <w:szCs w:val="20"/>
              </w:rPr>
            </w:pPr>
            <w:r>
              <w:rPr>
                <w:rFonts w:hint="eastAsia" w:asciiTheme="minorEastAsia" w:hAnsiTheme="minorEastAsia" w:eastAsiaTheme="minorEastAsia" w:cstheme="minorEastAsia"/>
                <w:snapToGrid w:val="0"/>
                <w:color w:val="auto"/>
                <w:kern w:val="0"/>
                <w:sz w:val="20"/>
                <w:szCs w:val="20"/>
              </w:rPr>
              <w:t>1102026219000744978</w:t>
            </w:r>
          </w:p>
        </w:tc>
        <w:tc>
          <w:tcPr>
            <w:tcW w:w="1395" w:type="dxa"/>
            <w:tcBorders>
              <w:top w:val="dashSmallGap" w:color="auto" w:sz="4" w:space="0"/>
              <w:left w:val="dashSmallGap" w:color="auto" w:sz="4" w:space="0"/>
              <w:bottom w:val="dashSmallGap" w:color="auto" w:sz="4" w:space="0"/>
              <w:right w:val="dashSmallGap" w:color="auto" w:sz="4" w:space="0"/>
            </w:tcBorders>
            <w:noWrap w:val="0"/>
            <w:vAlign w:val="center"/>
          </w:tcPr>
          <w:p>
            <w:pPr>
              <w:widowControl/>
              <w:spacing w:line="240" w:lineRule="auto"/>
              <w:jc w:val="left"/>
              <w:rPr>
                <w:rFonts w:hint="eastAsia" w:asciiTheme="minorEastAsia" w:hAnsiTheme="minorEastAsia" w:eastAsiaTheme="minorEastAsia" w:cstheme="minorEastAsia"/>
                <w:snapToGrid w:val="0"/>
                <w:color w:val="auto"/>
                <w:kern w:val="0"/>
                <w:sz w:val="20"/>
                <w:szCs w:val="20"/>
              </w:rPr>
            </w:pPr>
            <w:r>
              <w:rPr>
                <w:rFonts w:hint="eastAsia" w:asciiTheme="minorEastAsia" w:hAnsiTheme="minorEastAsia" w:eastAsiaTheme="minorEastAsia" w:cstheme="minorEastAsia"/>
                <w:snapToGrid w:val="0"/>
                <w:color w:val="auto"/>
                <w:kern w:val="0"/>
                <w:sz w:val="20"/>
                <w:szCs w:val="20"/>
              </w:rPr>
              <w:t>已注销[注9]</w:t>
            </w:r>
          </w:p>
        </w:tc>
        <w:tc>
          <w:tcPr>
            <w:tcW w:w="1340" w:type="dxa"/>
            <w:tcBorders>
              <w:top w:val="dashSmallGap" w:color="auto" w:sz="4" w:space="0"/>
              <w:left w:val="dashSmallGap" w:color="auto" w:sz="4" w:space="0"/>
              <w:bottom w:val="dashSmallGap" w:color="auto" w:sz="4" w:space="0"/>
            </w:tcBorders>
            <w:noWrap w:val="0"/>
            <w:vAlign w:val="center"/>
          </w:tcPr>
          <w:p>
            <w:pPr>
              <w:widowControl/>
              <w:spacing w:line="240" w:lineRule="auto"/>
              <w:jc w:val="left"/>
              <w:rPr>
                <w:rFonts w:hint="eastAsia" w:asciiTheme="minorEastAsia" w:hAnsiTheme="minorEastAsia" w:eastAsiaTheme="minorEastAsia" w:cstheme="minorEastAsia"/>
                <w:snapToGrid w:val="0"/>
                <w:color w:val="auto"/>
                <w:kern w:val="0"/>
                <w:sz w:val="20"/>
                <w:szCs w:val="20"/>
              </w:rPr>
            </w:pPr>
            <w:r>
              <w:rPr>
                <w:rFonts w:hint="eastAsia" w:asciiTheme="minorEastAsia" w:hAnsiTheme="minorEastAsia" w:eastAsiaTheme="minorEastAsia" w:cstheme="minorEastAsia"/>
                <w:snapToGrid w:val="0"/>
                <w:color w:val="auto"/>
                <w:kern w:val="0"/>
                <w:sz w:val="20"/>
                <w:szCs w:val="20"/>
              </w:rPr>
              <w:t>医药研发中心项目</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5" w:hRule="atLeast"/>
        </w:trPr>
        <w:tc>
          <w:tcPr>
            <w:tcW w:w="1384" w:type="dxa"/>
            <w:tcBorders>
              <w:top w:val="dashSmallGap" w:color="auto" w:sz="4" w:space="0"/>
              <w:bottom w:val="dashSmallGap" w:color="auto" w:sz="4" w:space="0"/>
              <w:right w:val="dashSmallGap" w:color="auto" w:sz="4" w:space="0"/>
            </w:tcBorders>
            <w:noWrap w:val="0"/>
            <w:vAlign w:val="center"/>
          </w:tcPr>
          <w:p>
            <w:pPr>
              <w:widowControl/>
              <w:spacing w:line="240" w:lineRule="auto"/>
              <w:jc w:val="left"/>
              <w:rPr>
                <w:rFonts w:hint="eastAsia" w:asciiTheme="minorEastAsia" w:hAnsiTheme="minorEastAsia" w:eastAsiaTheme="minorEastAsia" w:cstheme="minorEastAsia"/>
                <w:snapToGrid w:val="0"/>
                <w:color w:val="auto"/>
                <w:kern w:val="0"/>
                <w:sz w:val="20"/>
                <w:szCs w:val="20"/>
              </w:rPr>
            </w:pPr>
            <w:r>
              <w:rPr>
                <w:rFonts w:hint="eastAsia" w:asciiTheme="minorEastAsia" w:hAnsiTheme="minorEastAsia" w:eastAsiaTheme="minorEastAsia" w:cstheme="minorEastAsia"/>
                <w:snapToGrid w:val="0"/>
                <w:color w:val="auto"/>
                <w:kern w:val="0"/>
                <w:sz w:val="20"/>
                <w:szCs w:val="20"/>
              </w:rPr>
              <w:t>江苏吴中医药集团有限公司</w:t>
            </w:r>
          </w:p>
        </w:tc>
        <w:tc>
          <w:tcPr>
            <w:tcW w:w="1418" w:type="dxa"/>
            <w:tcBorders>
              <w:top w:val="dashSmallGap" w:color="auto" w:sz="4" w:space="0"/>
              <w:left w:val="dashSmallGap" w:color="auto" w:sz="4" w:space="0"/>
              <w:bottom w:val="dashSmallGap" w:color="auto" w:sz="4" w:space="0"/>
              <w:right w:val="dashSmallGap" w:color="auto" w:sz="4" w:space="0"/>
            </w:tcBorders>
            <w:noWrap w:val="0"/>
            <w:vAlign w:val="center"/>
          </w:tcPr>
          <w:p>
            <w:pPr>
              <w:widowControl/>
              <w:spacing w:line="240" w:lineRule="auto"/>
              <w:jc w:val="left"/>
              <w:rPr>
                <w:rFonts w:hint="eastAsia" w:asciiTheme="minorEastAsia" w:hAnsiTheme="minorEastAsia" w:eastAsiaTheme="minorEastAsia" w:cstheme="minorEastAsia"/>
                <w:snapToGrid w:val="0"/>
                <w:color w:val="auto"/>
                <w:kern w:val="0"/>
                <w:sz w:val="20"/>
                <w:szCs w:val="20"/>
              </w:rPr>
            </w:pPr>
            <w:r>
              <w:rPr>
                <w:rFonts w:hint="eastAsia" w:asciiTheme="minorEastAsia" w:hAnsiTheme="minorEastAsia" w:eastAsiaTheme="minorEastAsia" w:cstheme="minorEastAsia"/>
                <w:snapToGrid w:val="0"/>
                <w:color w:val="auto"/>
                <w:kern w:val="0"/>
                <w:sz w:val="20"/>
                <w:szCs w:val="20"/>
              </w:rPr>
              <w:t>交通银行股份有限公司苏州吴中支行</w:t>
            </w:r>
          </w:p>
        </w:tc>
        <w:tc>
          <w:tcPr>
            <w:tcW w:w="1011" w:type="dxa"/>
            <w:tcBorders>
              <w:top w:val="dashSmallGap" w:color="auto" w:sz="4" w:space="0"/>
              <w:left w:val="dashSmallGap" w:color="auto" w:sz="4" w:space="0"/>
              <w:bottom w:val="dashSmallGap" w:color="auto" w:sz="4" w:space="0"/>
              <w:right w:val="dashSmallGap" w:color="auto" w:sz="4" w:space="0"/>
            </w:tcBorders>
            <w:noWrap w:val="0"/>
            <w:vAlign w:val="center"/>
          </w:tcPr>
          <w:p>
            <w:pPr>
              <w:widowControl/>
              <w:spacing w:line="240" w:lineRule="auto"/>
              <w:jc w:val="left"/>
              <w:rPr>
                <w:rFonts w:hint="eastAsia" w:asciiTheme="minorEastAsia" w:hAnsiTheme="minorEastAsia" w:eastAsiaTheme="minorEastAsia" w:cstheme="minorEastAsia"/>
                <w:snapToGrid w:val="0"/>
                <w:color w:val="auto"/>
                <w:kern w:val="0"/>
                <w:sz w:val="20"/>
                <w:szCs w:val="20"/>
              </w:rPr>
            </w:pPr>
            <w:r>
              <w:rPr>
                <w:rFonts w:hint="eastAsia" w:asciiTheme="minorEastAsia" w:hAnsiTheme="minorEastAsia" w:eastAsiaTheme="minorEastAsia" w:cstheme="minorEastAsia"/>
                <w:snapToGrid w:val="0"/>
                <w:color w:val="auto"/>
                <w:kern w:val="0"/>
                <w:sz w:val="20"/>
                <w:szCs w:val="20"/>
              </w:rPr>
              <w:t>募集资金专户</w:t>
            </w:r>
          </w:p>
        </w:tc>
        <w:tc>
          <w:tcPr>
            <w:tcW w:w="2295" w:type="dxa"/>
            <w:tcBorders>
              <w:top w:val="dashSmallGap" w:color="auto" w:sz="4" w:space="0"/>
              <w:left w:val="dashSmallGap" w:color="auto" w:sz="4" w:space="0"/>
              <w:bottom w:val="dashSmallGap" w:color="auto" w:sz="4" w:space="0"/>
              <w:right w:val="dashSmallGap" w:color="auto" w:sz="4" w:space="0"/>
            </w:tcBorders>
            <w:noWrap w:val="0"/>
            <w:vAlign w:val="center"/>
          </w:tcPr>
          <w:p>
            <w:pPr>
              <w:widowControl/>
              <w:spacing w:line="240" w:lineRule="auto"/>
              <w:jc w:val="center"/>
              <w:rPr>
                <w:rFonts w:hint="eastAsia" w:asciiTheme="minorEastAsia" w:hAnsiTheme="minorEastAsia" w:eastAsiaTheme="minorEastAsia" w:cstheme="minorEastAsia"/>
                <w:snapToGrid w:val="0"/>
                <w:color w:val="auto"/>
                <w:kern w:val="0"/>
                <w:sz w:val="20"/>
                <w:szCs w:val="20"/>
              </w:rPr>
            </w:pPr>
            <w:r>
              <w:rPr>
                <w:rFonts w:hint="eastAsia" w:asciiTheme="minorEastAsia" w:hAnsiTheme="minorEastAsia" w:eastAsiaTheme="minorEastAsia" w:cstheme="minorEastAsia"/>
                <w:snapToGrid w:val="0"/>
                <w:color w:val="auto"/>
                <w:kern w:val="0"/>
                <w:sz w:val="20"/>
                <w:szCs w:val="20"/>
              </w:rPr>
              <w:t>325325400018800007690</w:t>
            </w:r>
          </w:p>
        </w:tc>
        <w:tc>
          <w:tcPr>
            <w:tcW w:w="1395" w:type="dxa"/>
            <w:tcBorders>
              <w:top w:val="dashSmallGap" w:color="auto" w:sz="4" w:space="0"/>
              <w:left w:val="dashSmallGap" w:color="auto" w:sz="4" w:space="0"/>
              <w:bottom w:val="dashSmallGap" w:color="auto" w:sz="4" w:space="0"/>
              <w:right w:val="dashSmallGap" w:color="auto" w:sz="4" w:space="0"/>
            </w:tcBorders>
            <w:noWrap w:val="0"/>
            <w:vAlign w:val="center"/>
          </w:tcPr>
          <w:p>
            <w:pPr>
              <w:widowControl/>
              <w:spacing w:line="240" w:lineRule="auto"/>
              <w:jc w:val="left"/>
              <w:rPr>
                <w:rFonts w:hint="eastAsia" w:asciiTheme="minorEastAsia" w:hAnsiTheme="minorEastAsia" w:eastAsiaTheme="minorEastAsia" w:cstheme="minorEastAsia"/>
                <w:snapToGrid w:val="0"/>
                <w:color w:val="auto"/>
                <w:kern w:val="0"/>
                <w:sz w:val="20"/>
                <w:szCs w:val="20"/>
              </w:rPr>
            </w:pPr>
            <w:r>
              <w:rPr>
                <w:rFonts w:hint="eastAsia" w:asciiTheme="minorEastAsia" w:hAnsiTheme="minorEastAsia" w:eastAsiaTheme="minorEastAsia" w:cstheme="minorEastAsia"/>
                <w:snapToGrid w:val="0"/>
                <w:color w:val="auto"/>
                <w:kern w:val="0"/>
                <w:sz w:val="20"/>
                <w:szCs w:val="20"/>
              </w:rPr>
              <w:t>已注销[注5]</w:t>
            </w:r>
          </w:p>
        </w:tc>
        <w:tc>
          <w:tcPr>
            <w:tcW w:w="1340" w:type="dxa"/>
            <w:tcBorders>
              <w:top w:val="dashSmallGap" w:color="auto" w:sz="4" w:space="0"/>
              <w:left w:val="dashSmallGap" w:color="auto" w:sz="4" w:space="0"/>
              <w:bottom w:val="dashSmallGap" w:color="auto" w:sz="4" w:space="0"/>
            </w:tcBorders>
            <w:noWrap w:val="0"/>
            <w:vAlign w:val="center"/>
          </w:tcPr>
          <w:p>
            <w:pPr>
              <w:widowControl/>
              <w:spacing w:line="240" w:lineRule="auto"/>
              <w:jc w:val="left"/>
              <w:rPr>
                <w:rFonts w:hint="eastAsia" w:asciiTheme="minorEastAsia" w:hAnsiTheme="minorEastAsia" w:eastAsiaTheme="minorEastAsia" w:cstheme="minorEastAsia"/>
                <w:snapToGrid w:val="0"/>
                <w:color w:val="auto"/>
                <w:kern w:val="0"/>
                <w:sz w:val="20"/>
                <w:szCs w:val="20"/>
              </w:rPr>
            </w:pPr>
            <w:r>
              <w:rPr>
                <w:rFonts w:hint="eastAsia" w:asciiTheme="minorEastAsia" w:hAnsiTheme="minorEastAsia" w:eastAsiaTheme="minorEastAsia" w:cstheme="minorEastAsia"/>
                <w:snapToGrid w:val="0"/>
                <w:color w:val="auto"/>
                <w:kern w:val="0"/>
                <w:sz w:val="20"/>
                <w:szCs w:val="20"/>
              </w:rPr>
              <w:t>补充医药业务营运资金</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324" w:hRule="atLeast"/>
        </w:trPr>
        <w:tc>
          <w:tcPr>
            <w:tcW w:w="1384" w:type="dxa"/>
            <w:tcBorders>
              <w:top w:val="dashSmallGap" w:color="auto" w:sz="4" w:space="0"/>
              <w:bottom w:val="dashSmallGap" w:color="auto" w:sz="4" w:space="0"/>
              <w:right w:val="dashSmallGap" w:color="auto" w:sz="4" w:space="0"/>
            </w:tcBorders>
            <w:noWrap w:val="0"/>
            <w:vAlign w:val="center"/>
          </w:tcPr>
          <w:p>
            <w:pPr>
              <w:widowControl/>
              <w:spacing w:line="240" w:lineRule="auto"/>
              <w:jc w:val="left"/>
              <w:rPr>
                <w:rFonts w:hint="eastAsia" w:asciiTheme="minorEastAsia" w:hAnsiTheme="minorEastAsia" w:eastAsiaTheme="minorEastAsia" w:cstheme="minorEastAsia"/>
                <w:snapToGrid w:val="0"/>
                <w:color w:val="auto"/>
                <w:kern w:val="0"/>
                <w:sz w:val="20"/>
                <w:szCs w:val="20"/>
              </w:rPr>
            </w:pPr>
            <w:r>
              <w:rPr>
                <w:rFonts w:hint="eastAsia" w:asciiTheme="minorEastAsia" w:hAnsiTheme="minorEastAsia" w:eastAsiaTheme="minorEastAsia" w:cstheme="minorEastAsia"/>
                <w:snapToGrid w:val="0"/>
                <w:color w:val="auto"/>
                <w:kern w:val="0"/>
                <w:sz w:val="20"/>
                <w:szCs w:val="20"/>
              </w:rPr>
              <w:t>苏州泽润新药研发有限公司</w:t>
            </w:r>
          </w:p>
        </w:tc>
        <w:tc>
          <w:tcPr>
            <w:tcW w:w="1418" w:type="dxa"/>
            <w:tcBorders>
              <w:top w:val="dashSmallGap" w:color="auto" w:sz="4" w:space="0"/>
              <w:left w:val="dashSmallGap" w:color="auto" w:sz="4" w:space="0"/>
              <w:bottom w:val="dashSmallGap" w:color="auto" w:sz="4" w:space="0"/>
              <w:right w:val="dashSmallGap" w:color="auto" w:sz="4" w:space="0"/>
            </w:tcBorders>
            <w:noWrap w:val="0"/>
            <w:vAlign w:val="center"/>
          </w:tcPr>
          <w:p>
            <w:pPr>
              <w:widowControl/>
              <w:spacing w:line="240" w:lineRule="auto"/>
              <w:jc w:val="left"/>
              <w:rPr>
                <w:rFonts w:hint="eastAsia" w:asciiTheme="minorEastAsia" w:hAnsiTheme="minorEastAsia" w:eastAsiaTheme="minorEastAsia" w:cstheme="minorEastAsia"/>
                <w:snapToGrid w:val="0"/>
                <w:color w:val="auto"/>
                <w:kern w:val="0"/>
                <w:sz w:val="20"/>
                <w:szCs w:val="20"/>
              </w:rPr>
            </w:pPr>
            <w:r>
              <w:rPr>
                <w:rFonts w:hint="eastAsia" w:asciiTheme="minorEastAsia" w:hAnsiTheme="minorEastAsia" w:eastAsiaTheme="minorEastAsia" w:cstheme="minorEastAsia"/>
                <w:snapToGrid w:val="0"/>
                <w:color w:val="auto"/>
                <w:kern w:val="0"/>
                <w:sz w:val="20"/>
                <w:szCs w:val="20"/>
              </w:rPr>
              <w:t>中国农业银行股份有限公司苏州南门支行</w:t>
            </w:r>
          </w:p>
        </w:tc>
        <w:tc>
          <w:tcPr>
            <w:tcW w:w="1011" w:type="dxa"/>
            <w:tcBorders>
              <w:top w:val="dashSmallGap" w:color="auto" w:sz="4" w:space="0"/>
              <w:left w:val="dashSmallGap" w:color="auto" w:sz="4" w:space="0"/>
              <w:bottom w:val="dashSmallGap" w:color="auto" w:sz="4" w:space="0"/>
              <w:right w:val="dashSmallGap" w:color="auto" w:sz="4" w:space="0"/>
            </w:tcBorders>
            <w:noWrap w:val="0"/>
            <w:vAlign w:val="center"/>
          </w:tcPr>
          <w:p>
            <w:pPr>
              <w:widowControl/>
              <w:spacing w:line="240" w:lineRule="auto"/>
              <w:jc w:val="left"/>
              <w:rPr>
                <w:rFonts w:hint="eastAsia" w:asciiTheme="minorEastAsia" w:hAnsiTheme="minorEastAsia" w:eastAsiaTheme="minorEastAsia" w:cstheme="minorEastAsia"/>
                <w:snapToGrid w:val="0"/>
                <w:color w:val="auto"/>
                <w:kern w:val="0"/>
                <w:sz w:val="20"/>
                <w:szCs w:val="20"/>
              </w:rPr>
            </w:pPr>
            <w:r>
              <w:rPr>
                <w:rFonts w:hint="eastAsia" w:asciiTheme="minorEastAsia" w:hAnsiTheme="minorEastAsia" w:eastAsiaTheme="minorEastAsia" w:cstheme="minorEastAsia"/>
                <w:snapToGrid w:val="0"/>
                <w:color w:val="auto"/>
                <w:kern w:val="0"/>
                <w:sz w:val="20"/>
                <w:szCs w:val="20"/>
              </w:rPr>
              <w:t>募集资金专户</w:t>
            </w:r>
          </w:p>
        </w:tc>
        <w:tc>
          <w:tcPr>
            <w:tcW w:w="2295" w:type="dxa"/>
            <w:tcBorders>
              <w:top w:val="dashSmallGap" w:color="auto" w:sz="4" w:space="0"/>
              <w:left w:val="dashSmallGap" w:color="auto" w:sz="4" w:space="0"/>
              <w:bottom w:val="dashSmallGap" w:color="auto" w:sz="4" w:space="0"/>
              <w:right w:val="dashSmallGap" w:color="auto" w:sz="4" w:space="0"/>
            </w:tcBorders>
            <w:noWrap w:val="0"/>
            <w:vAlign w:val="center"/>
          </w:tcPr>
          <w:p>
            <w:pPr>
              <w:widowControl/>
              <w:spacing w:line="240" w:lineRule="auto"/>
              <w:jc w:val="center"/>
              <w:rPr>
                <w:rFonts w:hint="eastAsia" w:asciiTheme="minorEastAsia" w:hAnsiTheme="minorEastAsia" w:eastAsiaTheme="minorEastAsia" w:cstheme="minorEastAsia"/>
                <w:snapToGrid w:val="0"/>
                <w:color w:val="auto"/>
                <w:kern w:val="0"/>
                <w:sz w:val="20"/>
                <w:szCs w:val="20"/>
              </w:rPr>
            </w:pPr>
            <w:r>
              <w:rPr>
                <w:rFonts w:hint="eastAsia" w:asciiTheme="minorEastAsia" w:hAnsiTheme="minorEastAsia" w:eastAsiaTheme="minorEastAsia" w:cstheme="minorEastAsia"/>
                <w:snapToGrid w:val="0"/>
                <w:color w:val="auto"/>
                <w:kern w:val="0"/>
                <w:sz w:val="20"/>
                <w:szCs w:val="20"/>
              </w:rPr>
              <w:t>10553301040017652</w:t>
            </w:r>
          </w:p>
          <w:p>
            <w:pPr>
              <w:widowControl/>
              <w:spacing w:line="240" w:lineRule="auto"/>
              <w:jc w:val="center"/>
              <w:rPr>
                <w:rFonts w:hint="eastAsia" w:asciiTheme="minorEastAsia" w:hAnsiTheme="minorEastAsia" w:eastAsiaTheme="minorEastAsia" w:cstheme="minorEastAsia"/>
                <w:snapToGrid w:val="0"/>
                <w:color w:val="auto"/>
                <w:kern w:val="0"/>
                <w:sz w:val="20"/>
                <w:szCs w:val="20"/>
              </w:rPr>
            </w:pPr>
            <w:r>
              <w:rPr>
                <w:rFonts w:hint="eastAsia" w:asciiTheme="minorEastAsia" w:hAnsiTheme="minorEastAsia" w:eastAsiaTheme="minorEastAsia" w:cstheme="minorEastAsia"/>
                <w:snapToGrid w:val="0"/>
                <w:color w:val="auto"/>
                <w:kern w:val="0"/>
                <w:sz w:val="20"/>
                <w:szCs w:val="20"/>
              </w:rPr>
              <w:t>[注2]</w:t>
            </w:r>
          </w:p>
        </w:tc>
        <w:tc>
          <w:tcPr>
            <w:tcW w:w="1395" w:type="dxa"/>
            <w:tcBorders>
              <w:top w:val="dashSmallGap" w:color="auto" w:sz="4" w:space="0"/>
              <w:left w:val="dashSmallGap" w:color="auto" w:sz="4" w:space="0"/>
              <w:bottom w:val="dashSmallGap" w:color="auto" w:sz="4" w:space="0"/>
              <w:right w:val="dashSmallGap" w:color="auto" w:sz="4" w:space="0"/>
            </w:tcBorders>
            <w:noWrap w:val="0"/>
            <w:vAlign w:val="center"/>
          </w:tcPr>
          <w:p>
            <w:pPr>
              <w:widowControl/>
              <w:spacing w:line="240" w:lineRule="auto"/>
              <w:jc w:val="right"/>
              <w:rPr>
                <w:rFonts w:hint="default" w:ascii="Times New Roman" w:hAnsi="Times New Roman" w:cs="Times New Roman" w:eastAsiaTheme="minorEastAsia"/>
                <w:snapToGrid w:val="0"/>
                <w:color w:val="auto"/>
                <w:kern w:val="0"/>
                <w:sz w:val="20"/>
                <w:szCs w:val="20"/>
              </w:rPr>
            </w:pPr>
            <w:r>
              <w:rPr>
                <w:rFonts w:hint="default" w:ascii="Times New Roman" w:hAnsi="Times New Roman" w:cs="Times New Roman" w:eastAsiaTheme="minorEastAsia"/>
                <w:snapToGrid w:val="0"/>
                <w:color w:val="auto"/>
                <w:kern w:val="0"/>
                <w:sz w:val="20"/>
                <w:szCs w:val="20"/>
              </w:rPr>
              <w:t>10,222,963.31</w:t>
            </w:r>
          </w:p>
        </w:tc>
        <w:tc>
          <w:tcPr>
            <w:tcW w:w="1340" w:type="dxa"/>
            <w:tcBorders>
              <w:top w:val="dashSmallGap" w:color="auto" w:sz="4" w:space="0"/>
              <w:left w:val="dashSmallGap" w:color="auto" w:sz="4" w:space="0"/>
              <w:bottom w:val="dashSmallGap" w:color="auto" w:sz="4" w:space="0"/>
            </w:tcBorders>
            <w:noWrap w:val="0"/>
            <w:vAlign w:val="center"/>
          </w:tcPr>
          <w:p>
            <w:pPr>
              <w:widowControl/>
              <w:spacing w:line="240" w:lineRule="auto"/>
              <w:jc w:val="left"/>
              <w:rPr>
                <w:rFonts w:hint="eastAsia" w:asciiTheme="minorEastAsia" w:hAnsiTheme="minorEastAsia" w:eastAsiaTheme="minorEastAsia" w:cstheme="minorEastAsia"/>
                <w:snapToGrid w:val="0"/>
                <w:color w:val="auto"/>
                <w:kern w:val="0"/>
                <w:sz w:val="20"/>
                <w:szCs w:val="20"/>
              </w:rPr>
            </w:pPr>
            <w:r>
              <w:rPr>
                <w:rFonts w:hint="eastAsia" w:asciiTheme="minorEastAsia" w:hAnsiTheme="minorEastAsia" w:eastAsiaTheme="minorEastAsia" w:cstheme="minorEastAsia"/>
                <w:snapToGrid w:val="0"/>
                <w:color w:val="auto"/>
                <w:kern w:val="0"/>
                <w:sz w:val="20"/>
                <w:szCs w:val="20"/>
              </w:rPr>
              <w:t xml:space="preserve">抗肿瘤 1 类 新药YS001 的研发项目 </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413" w:hRule="atLeast"/>
        </w:trPr>
        <w:tc>
          <w:tcPr>
            <w:tcW w:w="1384" w:type="dxa"/>
            <w:tcBorders>
              <w:top w:val="dashSmallGap" w:color="auto" w:sz="4" w:space="0"/>
              <w:bottom w:val="dashSmallGap" w:color="auto" w:sz="4" w:space="0"/>
              <w:right w:val="dashSmallGap" w:color="auto" w:sz="4" w:space="0"/>
            </w:tcBorders>
            <w:noWrap w:val="0"/>
            <w:vAlign w:val="center"/>
          </w:tcPr>
          <w:p>
            <w:pPr>
              <w:widowControl/>
              <w:spacing w:line="240" w:lineRule="auto"/>
              <w:jc w:val="left"/>
              <w:rPr>
                <w:rFonts w:hint="eastAsia" w:asciiTheme="minorEastAsia" w:hAnsiTheme="minorEastAsia" w:eastAsiaTheme="minorEastAsia" w:cstheme="minorEastAsia"/>
                <w:snapToGrid w:val="0"/>
                <w:color w:val="auto"/>
                <w:kern w:val="0"/>
                <w:sz w:val="20"/>
                <w:szCs w:val="20"/>
              </w:rPr>
            </w:pPr>
            <w:r>
              <w:rPr>
                <w:rFonts w:hint="eastAsia" w:asciiTheme="minorEastAsia" w:hAnsiTheme="minorEastAsia" w:eastAsiaTheme="minorEastAsia" w:cstheme="minorEastAsia"/>
                <w:snapToGrid w:val="0"/>
                <w:color w:val="auto"/>
                <w:kern w:val="0"/>
                <w:sz w:val="20"/>
                <w:szCs w:val="20"/>
              </w:rPr>
              <w:t>江苏吴中医药集团有限公司苏州制药厂</w:t>
            </w:r>
          </w:p>
        </w:tc>
        <w:tc>
          <w:tcPr>
            <w:tcW w:w="1418" w:type="dxa"/>
            <w:tcBorders>
              <w:top w:val="dashSmallGap" w:color="auto" w:sz="4" w:space="0"/>
              <w:left w:val="dashSmallGap" w:color="auto" w:sz="4" w:space="0"/>
              <w:bottom w:val="dashSmallGap" w:color="auto" w:sz="4" w:space="0"/>
              <w:right w:val="dashSmallGap" w:color="auto" w:sz="4" w:space="0"/>
            </w:tcBorders>
            <w:noWrap w:val="0"/>
            <w:vAlign w:val="center"/>
          </w:tcPr>
          <w:p>
            <w:pPr>
              <w:widowControl/>
              <w:spacing w:line="240" w:lineRule="auto"/>
              <w:jc w:val="left"/>
              <w:rPr>
                <w:rFonts w:hint="eastAsia" w:asciiTheme="minorEastAsia" w:hAnsiTheme="minorEastAsia" w:eastAsiaTheme="minorEastAsia" w:cstheme="minorEastAsia"/>
                <w:snapToGrid w:val="0"/>
                <w:color w:val="auto"/>
                <w:kern w:val="0"/>
                <w:sz w:val="20"/>
                <w:szCs w:val="20"/>
              </w:rPr>
            </w:pPr>
            <w:r>
              <w:rPr>
                <w:rFonts w:hint="eastAsia" w:asciiTheme="minorEastAsia" w:hAnsiTheme="minorEastAsia" w:eastAsiaTheme="minorEastAsia" w:cstheme="minorEastAsia"/>
                <w:snapToGrid w:val="0"/>
                <w:color w:val="auto"/>
                <w:kern w:val="0"/>
                <w:sz w:val="20"/>
                <w:szCs w:val="20"/>
              </w:rPr>
              <w:t>中国农业银行股份有限公司苏州南门支行</w:t>
            </w:r>
          </w:p>
        </w:tc>
        <w:tc>
          <w:tcPr>
            <w:tcW w:w="1011" w:type="dxa"/>
            <w:tcBorders>
              <w:top w:val="dashSmallGap" w:color="auto" w:sz="4" w:space="0"/>
              <w:left w:val="dashSmallGap" w:color="auto" w:sz="4" w:space="0"/>
              <w:bottom w:val="dashSmallGap" w:color="auto" w:sz="4" w:space="0"/>
              <w:right w:val="dashSmallGap" w:color="auto" w:sz="4" w:space="0"/>
            </w:tcBorders>
            <w:noWrap w:val="0"/>
            <w:vAlign w:val="center"/>
          </w:tcPr>
          <w:p>
            <w:pPr>
              <w:widowControl/>
              <w:spacing w:line="240" w:lineRule="auto"/>
              <w:jc w:val="left"/>
              <w:rPr>
                <w:rFonts w:hint="eastAsia" w:asciiTheme="minorEastAsia" w:hAnsiTheme="minorEastAsia" w:eastAsiaTheme="minorEastAsia" w:cstheme="minorEastAsia"/>
                <w:snapToGrid w:val="0"/>
                <w:color w:val="auto"/>
                <w:kern w:val="0"/>
                <w:sz w:val="20"/>
                <w:szCs w:val="20"/>
              </w:rPr>
            </w:pPr>
            <w:r>
              <w:rPr>
                <w:rFonts w:hint="eastAsia" w:asciiTheme="minorEastAsia" w:hAnsiTheme="minorEastAsia" w:eastAsiaTheme="minorEastAsia" w:cstheme="minorEastAsia"/>
                <w:snapToGrid w:val="0"/>
                <w:color w:val="auto"/>
                <w:kern w:val="0"/>
                <w:sz w:val="20"/>
                <w:szCs w:val="20"/>
              </w:rPr>
              <w:t>募集资金专户</w:t>
            </w:r>
          </w:p>
          <w:p>
            <w:pPr>
              <w:widowControl/>
              <w:spacing w:line="240" w:lineRule="auto"/>
              <w:jc w:val="left"/>
              <w:rPr>
                <w:rFonts w:hint="eastAsia" w:asciiTheme="minorEastAsia" w:hAnsiTheme="minorEastAsia" w:eastAsiaTheme="minorEastAsia" w:cstheme="minorEastAsia"/>
                <w:snapToGrid w:val="0"/>
                <w:color w:val="auto"/>
                <w:kern w:val="0"/>
                <w:sz w:val="20"/>
                <w:szCs w:val="20"/>
              </w:rPr>
            </w:pPr>
          </w:p>
        </w:tc>
        <w:tc>
          <w:tcPr>
            <w:tcW w:w="2295" w:type="dxa"/>
            <w:tcBorders>
              <w:top w:val="dashSmallGap" w:color="auto" w:sz="4" w:space="0"/>
              <w:left w:val="dashSmallGap" w:color="auto" w:sz="4" w:space="0"/>
              <w:bottom w:val="dashSmallGap" w:color="auto" w:sz="4" w:space="0"/>
              <w:right w:val="dashSmallGap" w:color="auto" w:sz="4" w:space="0"/>
            </w:tcBorders>
            <w:noWrap w:val="0"/>
            <w:vAlign w:val="center"/>
          </w:tcPr>
          <w:p>
            <w:pPr>
              <w:widowControl/>
              <w:spacing w:line="240" w:lineRule="auto"/>
              <w:jc w:val="center"/>
              <w:rPr>
                <w:rFonts w:hint="eastAsia" w:asciiTheme="minorEastAsia" w:hAnsiTheme="minorEastAsia" w:eastAsiaTheme="minorEastAsia" w:cstheme="minorEastAsia"/>
                <w:snapToGrid w:val="0"/>
                <w:color w:val="auto"/>
                <w:kern w:val="0"/>
                <w:sz w:val="20"/>
                <w:szCs w:val="20"/>
              </w:rPr>
            </w:pPr>
            <w:r>
              <w:rPr>
                <w:rFonts w:hint="eastAsia" w:asciiTheme="minorEastAsia" w:hAnsiTheme="minorEastAsia" w:eastAsiaTheme="minorEastAsia" w:cstheme="minorEastAsia"/>
                <w:snapToGrid w:val="0"/>
                <w:color w:val="auto"/>
                <w:kern w:val="0"/>
                <w:sz w:val="20"/>
                <w:szCs w:val="20"/>
              </w:rPr>
              <w:t>10553301040017694</w:t>
            </w:r>
          </w:p>
          <w:p>
            <w:pPr>
              <w:widowControl/>
              <w:spacing w:line="240" w:lineRule="auto"/>
              <w:jc w:val="center"/>
              <w:rPr>
                <w:rFonts w:hint="eastAsia" w:asciiTheme="minorEastAsia" w:hAnsiTheme="minorEastAsia" w:eastAsiaTheme="minorEastAsia" w:cstheme="minorEastAsia"/>
                <w:snapToGrid w:val="0"/>
                <w:color w:val="auto"/>
                <w:kern w:val="0"/>
                <w:sz w:val="20"/>
                <w:szCs w:val="20"/>
              </w:rPr>
            </w:pPr>
            <w:r>
              <w:rPr>
                <w:rFonts w:hint="eastAsia" w:asciiTheme="minorEastAsia" w:hAnsiTheme="minorEastAsia" w:eastAsiaTheme="minorEastAsia" w:cstheme="minorEastAsia"/>
                <w:snapToGrid w:val="0"/>
                <w:color w:val="auto"/>
                <w:kern w:val="0"/>
                <w:sz w:val="20"/>
                <w:szCs w:val="20"/>
              </w:rPr>
              <w:t>[注4]</w:t>
            </w:r>
          </w:p>
        </w:tc>
        <w:tc>
          <w:tcPr>
            <w:tcW w:w="1395" w:type="dxa"/>
            <w:tcBorders>
              <w:top w:val="dashSmallGap" w:color="auto" w:sz="4" w:space="0"/>
              <w:left w:val="dashSmallGap" w:color="auto" w:sz="4" w:space="0"/>
              <w:bottom w:val="dashSmallGap" w:color="auto" w:sz="4" w:space="0"/>
              <w:right w:val="dashSmallGap" w:color="auto" w:sz="4" w:space="0"/>
            </w:tcBorders>
            <w:noWrap w:val="0"/>
            <w:vAlign w:val="center"/>
          </w:tcPr>
          <w:p>
            <w:pPr>
              <w:widowControl/>
              <w:spacing w:line="240" w:lineRule="auto"/>
              <w:jc w:val="right"/>
              <w:rPr>
                <w:rFonts w:hint="default" w:ascii="Times New Roman" w:hAnsi="Times New Roman" w:cs="Times New Roman" w:eastAsiaTheme="minorEastAsia"/>
                <w:snapToGrid w:val="0"/>
                <w:color w:val="auto"/>
                <w:kern w:val="0"/>
                <w:sz w:val="20"/>
                <w:szCs w:val="20"/>
              </w:rPr>
            </w:pPr>
            <w:r>
              <w:rPr>
                <w:rFonts w:hint="default" w:ascii="Times New Roman" w:hAnsi="Times New Roman" w:cs="Times New Roman" w:eastAsiaTheme="minorEastAsia"/>
                <w:snapToGrid w:val="0"/>
                <w:color w:val="auto"/>
                <w:kern w:val="0"/>
                <w:sz w:val="20"/>
                <w:szCs w:val="20"/>
              </w:rPr>
              <w:t>6,874,621.63</w:t>
            </w:r>
          </w:p>
        </w:tc>
        <w:tc>
          <w:tcPr>
            <w:tcW w:w="1340" w:type="dxa"/>
            <w:tcBorders>
              <w:top w:val="dashSmallGap" w:color="auto" w:sz="4" w:space="0"/>
              <w:left w:val="dashSmallGap" w:color="auto" w:sz="4" w:space="0"/>
              <w:bottom w:val="dashSmallGap" w:color="auto" w:sz="4" w:space="0"/>
            </w:tcBorders>
            <w:noWrap w:val="0"/>
            <w:vAlign w:val="center"/>
          </w:tcPr>
          <w:p>
            <w:pPr>
              <w:widowControl/>
              <w:spacing w:line="240" w:lineRule="auto"/>
              <w:jc w:val="left"/>
              <w:rPr>
                <w:rFonts w:hint="eastAsia" w:asciiTheme="minorEastAsia" w:hAnsiTheme="minorEastAsia" w:eastAsiaTheme="minorEastAsia" w:cstheme="minorEastAsia"/>
                <w:snapToGrid w:val="0"/>
                <w:color w:val="auto"/>
                <w:kern w:val="0"/>
                <w:sz w:val="20"/>
                <w:szCs w:val="20"/>
              </w:rPr>
            </w:pPr>
            <w:r>
              <w:rPr>
                <w:rFonts w:hint="eastAsia" w:asciiTheme="minorEastAsia" w:hAnsiTheme="minorEastAsia" w:eastAsiaTheme="minorEastAsia" w:cstheme="minorEastAsia"/>
                <w:snapToGrid w:val="0"/>
                <w:color w:val="auto"/>
                <w:kern w:val="0"/>
                <w:sz w:val="20"/>
                <w:szCs w:val="20"/>
              </w:rPr>
              <w:t xml:space="preserve">西洛他唑等 上市化学仿 制药的一致 性评价项目 </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453" w:hRule="atLeast"/>
        </w:trPr>
        <w:tc>
          <w:tcPr>
            <w:tcW w:w="1384" w:type="dxa"/>
            <w:tcBorders>
              <w:top w:val="dashSmallGap" w:color="auto" w:sz="4" w:space="0"/>
              <w:bottom w:val="dashSmallGap" w:color="auto" w:sz="4" w:space="0"/>
              <w:right w:val="dashSmallGap" w:color="auto" w:sz="4" w:space="0"/>
            </w:tcBorders>
            <w:noWrap w:val="0"/>
            <w:vAlign w:val="center"/>
          </w:tcPr>
          <w:p>
            <w:pPr>
              <w:widowControl/>
              <w:spacing w:line="240" w:lineRule="auto"/>
              <w:jc w:val="left"/>
              <w:rPr>
                <w:rFonts w:hint="eastAsia" w:asciiTheme="minorEastAsia" w:hAnsiTheme="minorEastAsia" w:eastAsiaTheme="minorEastAsia" w:cstheme="minorEastAsia"/>
                <w:snapToGrid w:val="0"/>
                <w:color w:val="auto"/>
                <w:kern w:val="0"/>
                <w:sz w:val="20"/>
                <w:szCs w:val="20"/>
              </w:rPr>
            </w:pPr>
            <w:r>
              <w:rPr>
                <w:rFonts w:hint="eastAsia" w:asciiTheme="minorEastAsia" w:hAnsiTheme="minorEastAsia" w:eastAsiaTheme="minorEastAsia" w:cstheme="minorEastAsia"/>
                <w:snapToGrid w:val="0"/>
                <w:color w:val="auto"/>
                <w:kern w:val="0"/>
                <w:sz w:val="20"/>
                <w:szCs w:val="20"/>
              </w:rPr>
              <w:t>江苏吴中医药集团有限公司苏州制药厂</w:t>
            </w:r>
          </w:p>
        </w:tc>
        <w:tc>
          <w:tcPr>
            <w:tcW w:w="1418" w:type="dxa"/>
            <w:tcBorders>
              <w:top w:val="dashSmallGap" w:color="auto" w:sz="4" w:space="0"/>
              <w:left w:val="dashSmallGap" w:color="auto" w:sz="4" w:space="0"/>
              <w:bottom w:val="dashSmallGap" w:color="auto" w:sz="4" w:space="0"/>
              <w:right w:val="dashSmallGap" w:color="auto" w:sz="4" w:space="0"/>
            </w:tcBorders>
            <w:noWrap w:val="0"/>
            <w:vAlign w:val="center"/>
          </w:tcPr>
          <w:p>
            <w:pPr>
              <w:widowControl/>
              <w:spacing w:line="240" w:lineRule="auto"/>
              <w:jc w:val="left"/>
              <w:rPr>
                <w:rFonts w:hint="eastAsia" w:asciiTheme="minorEastAsia" w:hAnsiTheme="minorEastAsia" w:eastAsiaTheme="minorEastAsia" w:cstheme="minorEastAsia"/>
                <w:snapToGrid w:val="0"/>
                <w:color w:val="auto"/>
                <w:kern w:val="0"/>
                <w:sz w:val="20"/>
                <w:szCs w:val="20"/>
              </w:rPr>
            </w:pPr>
            <w:r>
              <w:rPr>
                <w:rFonts w:hint="eastAsia" w:asciiTheme="minorEastAsia" w:hAnsiTheme="minorEastAsia" w:eastAsiaTheme="minorEastAsia" w:cstheme="minorEastAsia"/>
                <w:snapToGrid w:val="0"/>
                <w:color w:val="auto"/>
                <w:kern w:val="0"/>
                <w:sz w:val="20"/>
                <w:szCs w:val="20"/>
              </w:rPr>
              <w:t>中国农业银行股份有限公司苏州南门支行</w:t>
            </w:r>
          </w:p>
        </w:tc>
        <w:tc>
          <w:tcPr>
            <w:tcW w:w="1011" w:type="dxa"/>
            <w:tcBorders>
              <w:top w:val="dashSmallGap" w:color="auto" w:sz="4" w:space="0"/>
              <w:left w:val="dashSmallGap" w:color="auto" w:sz="4" w:space="0"/>
              <w:bottom w:val="dashSmallGap" w:color="auto" w:sz="4" w:space="0"/>
              <w:right w:val="dashSmallGap" w:color="auto" w:sz="4" w:space="0"/>
            </w:tcBorders>
            <w:noWrap w:val="0"/>
            <w:vAlign w:val="center"/>
          </w:tcPr>
          <w:p>
            <w:pPr>
              <w:widowControl/>
              <w:spacing w:line="240" w:lineRule="auto"/>
              <w:jc w:val="left"/>
              <w:rPr>
                <w:rFonts w:hint="eastAsia" w:asciiTheme="minorEastAsia" w:hAnsiTheme="minorEastAsia" w:eastAsiaTheme="minorEastAsia" w:cstheme="minorEastAsia"/>
                <w:snapToGrid w:val="0"/>
                <w:color w:val="auto"/>
                <w:kern w:val="0"/>
                <w:sz w:val="20"/>
                <w:szCs w:val="20"/>
              </w:rPr>
            </w:pPr>
            <w:r>
              <w:rPr>
                <w:rFonts w:hint="eastAsia" w:asciiTheme="minorEastAsia" w:hAnsiTheme="minorEastAsia" w:eastAsiaTheme="minorEastAsia" w:cstheme="minorEastAsia"/>
                <w:snapToGrid w:val="0"/>
                <w:color w:val="auto"/>
                <w:kern w:val="0"/>
                <w:sz w:val="20"/>
                <w:szCs w:val="20"/>
              </w:rPr>
              <w:t>募集资金专户</w:t>
            </w:r>
          </w:p>
        </w:tc>
        <w:tc>
          <w:tcPr>
            <w:tcW w:w="2295" w:type="dxa"/>
            <w:tcBorders>
              <w:top w:val="dashSmallGap" w:color="auto" w:sz="4" w:space="0"/>
              <w:left w:val="dashSmallGap" w:color="auto" w:sz="4" w:space="0"/>
              <w:bottom w:val="dashSmallGap" w:color="auto" w:sz="4" w:space="0"/>
              <w:right w:val="dashSmallGap" w:color="auto" w:sz="4" w:space="0"/>
            </w:tcBorders>
            <w:noWrap w:val="0"/>
            <w:vAlign w:val="center"/>
          </w:tcPr>
          <w:p>
            <w:pPr>
              <w:widowControl/>
              <w:spacing w:line="240" w:lineRule="auto"/>
              <w:jc w:val="center"/>
              <w:rPr>
                <w:rFonts w:hint="eastAsia" w:asciiTheme="minorEastAsia" w:hAnsiTheme="minorEastAsia" w:eastAsiaTheme="minorEastAsia" w:cstheme="minorEastAsia"/>
                <w:snapToGrid w:val="0"/>
                <w:color w:val="auto"/>
                <w:kern w:val="0"/>
                <w:sz w:val="20"/>
                <w:szCs w:val="20"/>
              </w:rPr>
            </w:pPr>
            <w:r>
              <w:rPr>
                <w:rFonts w:hint="eastAsia" w:asciiTheme="minorEastAsia" w:hAnsiTheme="minorEastAsia" w:eastAsiaTheme="minorEastAsia" w:cstheme="minorEastAsia"/>
                <w:snapToGrid w:val="0"/>
                <w:color w:val="auto"/>
                <w:kern w:val="0"/>
                <w:sz w:val="20"/>
                <w:szCs w:val="20"/>
              </w:rPr>
              <w:t>10553301040017678</w:t>
            </w:r>
          </w:p>
          <w:p>
            <w:pPr>
              <w:widowControl/>
              <w:spacing w:line="240" w:lineRule="auto"/>
              <w:jc w:val="center"/>
              <w:rPr>
                <w:rFonts w:hint="eastAsia" w:asciiTheme="minorEastAsia" w:hAnsiTheme="minorEastAsia" w:eastAsiaTheme="minorEastAsia" w:cstheme="minorEastAsia"/>
                <w:snapToGrid w:val="0"/>
                <w:color w:val="auto"/>
                <w:kern w:val="0"/>
                <w:sz w:val="20"/>
                <w:szCs w:val="20"/>
              </w:rPr>
            </w:pPr>
            <w:r>
              <w:rPr>
                <w:rFonts w:hint="eastAsia" w:asciiTheme="minorEastAsia" w:hAnsiTheme="minorEastAsia" w:eastAsiaTheme="minorEastAsia" w:cstheme="minorEastAsia"/>
                <w:snapToGrid w:val="0"/>
                <w:color w:val="auto"/>
                <w:kern w:val="0"/>
                <w:sz w:val="20"/>
                <w:szCs w:val="20"/>
              </w:rPr>
              <w:t>[注3]</w:t>
            </w:r>
          </w:p>
        </w:tc>
        <w:tc>
          <w:tcPr>
            <w:tcW w:w="1395" w:type="dxa"/>
            <w:tcBorders>
              <w:top w:val="dashSmallGap" w:color="auto" w:sz="4" w:space="0"/>
              <w:left w:val="dashSmallGap" w:color="auto" w:sz="4" w:space="0"/>
              <w:bottom w:val="dashSmallGap" w:color="auto" w:sz="4" w:space="0"/>
              <w:right w:val="dashSmallGap" w:color="auto" w:sz="4" w:space="0"/>
            </w:tcBorders>
            <w:noWrap w:val="0"/>
            <w:vAlign w:val="center"/>
          </w:tcPr>
          <w:p>
            <w:pPr>
              <w:widowControl/>
              <w:spacing w:line="240" w:lineRule="auto"/>
              <w:jc w:val="right"/>
              <w:rPr>
                <w:rFonts w:hint="default" w:ascii="Times New Roman" w:hAnsi="Times New Roman" w:cs="Times New Roman" w:eastAsiaTheme="minorEastAsia"/>
                <w:snapToGrid w:val="0"/>
                <w:color w:val="auto"/>
                <w:kern w:val="0"/>
                <w:sz w:val="20"/>
                <w:szCs w:val="20"/>
              </w:rPr>
            </w:pPr>
            <w:r>
              <w:rPr>
                <w:rFonts w:hint="default" w:ascii="Times New Roman" w:hAnsi="Times New Roman" w:cs="Times New Roman" w:eastAsiaTheme="minorEastAsia"/>
                <w:snapToGrid w:val="0"/>
                <w:color w:val="auto"/>
                <w:kern w:val="0"/>
                <w:sz w:val="20"/>
                <w:szCs w:val="20"/>
              </w:rPr>
              <w:t>9,406,174.44</w:t>
            </w:r>
          </w:p>
        </w:tc>
        <w:tc>
          <w:tcPr>
            <w:tcW w:w="1340" w:type="dxa"/>
            <w:tcBorders>
              <w:top w:val="dashSmallGap" w:color="auto" w:sz="4" w:space="0"/>
              <w:left w:val="dashSmallGap" w:color="auto" w:sz="4" w:space="0"/>
              <w:bottom w:val="dashSmallGap" w:color="auto" w:sz="4" w:space="0"/>
            </w:tcBorders>
            <w:noWrap w:val="0"/>
            <w:vAlign w:val="center"/>
          </w:tcPr>
          <w:p>
            <w:pPr>
              <w:widowControl/>
              <w:spacing w:line="240" w:lineRule="auto"/>
              <w:jc w:val="left"/>
              <w:rPr>
                <w:rFonts w:hint="eastAsia" w:asciiTheme="minorEastAsia" w:hAnsiTheme="minorEastAsia" w:eastAsiaTheme="minorEastAsia" w:cstheme="minorEastAsia"/>
                <w:snapToGrid w:val="0"/>
                <w:color w:val="auto"/>
                <w:kern w:val="0"/>
                <w:sz w:val="20"/>
                <w:szCs w:val="20"/>
              </w:rPr>
            </w:pPr>
            <w:r>
              <w:rPr>
                <w:rFonts w:hint="eastAsia" w:asciiTheme="minorEastAsia" w:hAnsiTheme="minorEastAsia" w:eastAsiaTheme="minorEastAsia" w:cstheme="minorEastAsia"/>
                <w:snapToGrid w:val="0"/>
                <w:color w:val="auto"/>
                <w:kern w:val="0"/>
                <w:sz w:val="20"/>
                <w:szCs w:val="20"/>
              </w:rPr>
              <w:t xml:space="preserve">利奈唑胺与 沃诺拉赞的 仿制项目 </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5" w:hRule="atLeast"/>
        </w:trPr>
        <w:tc>
          <w:tcPr>
            <w:tcW w:w="1384" w:type="dxa"/>
            <w:tcBorders>
              <w:top w:val="dashSmallGap" w:color="auto" w:sz="4" w:space="0"/>
              <w:right w:val="dashSmallGap" w:color="auto" w:sz="4" w:space="0"/>
            </w:tcBorders>
            <w:noWrap w:val="0"/>
            <w:vAlign w:val="top"/>
          </w:tcPr>
          <w:p>
            <w:pPr>
              <w:widowControl/>
              <w:spacing w:line="240" w:lineRule="auto"/>
              <w:jc w:val="left"/>
              <w:rPr>
                <w:rFonts w:hint="eastAsia" w:asciiTheme="minorEastAsia" w:hAnsiTheme="minorEastAsia" w:eastAsiaTheme="minorEastAsia" w:cstheme="minorEastAsia"/>
                <w:snapToGrid w:val="0"/>
                <w:color w:val="auto"/>
                <w:kern w:val="0"/>
                <w:sz w:val="20"/>
                <w:szCs w:val="20"/>
              </w:rPr>
            </w:pPr>
          </w:p>
        </w:tc>
        <w:tc>
          <w:tcPr>
            <w:tcW w:w="1418" w:type="dxa"/>
            <w:tcBorders>
              <w:top w:val="dashSmallGap" w:color="auto" w:sz="4" w:space="0"/>
              <w:left w:val="dashSmallGap" w:color="auto" w:sz="4" w:space="0"/>
              <w:right w:val="dashSmallGap" w:color="auto" w:sz="4" w:space="0"/>
            </w:tcBorders>
            <w:noWrap w:val="0"/>
            <w:vAlign w:val="center"/>
          </w:tcPr>
          <w:p>
            <w:pPr>
              <w:widowControl/>
              <w:spacing w:line="240" w:lineRule="auto"/>
              <w:jc w:val="left"/>
              <w:rPr>
                <w:rFonts w:hint="eastAsia" w:asciiTheme="minorEastAsia" w:hAnsiTheme="minorEastAsia" w:eastAsiaTheme="minorEastAsia" w:cstheme="minorEastAsia"/>
                <w:snapToGrid w:val="0"/>
                <w:color w:val="auto"/>
                <w:kern w:val="0"/>
                <w:sz w:val="20"/>
                <w:szCs w:val="20"/>
              </w:rPr>
            </w:pPr>
            <w:r>
              <w:rPr>
                <w:rFonts w:hint="eastAsia" w:asciiTheme="minorEastAsia" w:hAnsiTheme="minorEastAsia" w:eastAsiaTheme="minorEastAsia" w:cstheme="minorEastAsia"/>
                <w:snapToGrid w:val="0"/>
                <w:color w:val="auto"/>
                <w:kern w:val="0"/>
                <w:sz w:val="20"/>
                <w:szCs w:val="20"/>
              </w:rPr>
              <w:t>合  计</w:t>
            </w:r>
          </w:p>
        </w:tc>
        <w:tc>
          <w:tcPr>
            <w:tcW w:w="1011" w:type="dxa"/>
            <w:tcBorders>
              <w:top w:val="dashSmallGap" w:color="auto" w:sz="4" w:space="0"/>
              <w:left w:val="dashSmallGap" w:color="auto" w:sz="4" w:space="0"/>
              <w:right w:val="dashSmallGap" w:color="auto" w:sz="4" w:space="0"/>
            </w:tcBorders>
            <w:noWrap w:val="0"/>
            <w:vAlign w:val="center"/>
          </w:tcPr>
          <w:p>
            <w:pPr>
              <w:widowControl/>
              <w:spacing w:line="240" w:lineRule="auto"/>
              <w:jc w:val="left"/>
              <w:rPr>
                <w:rFonts w:hint="eastAsia" w:asciiTheme="minorEastAsia" w:hAnsiTheme="minorEastAsia" w:eastAsiaTheme="minorEastAsia" w:cstheme="minorEastAsia"/>
                <w:snapToGrid w:val="0"/>
                <w:color w:val="auto"/>
                <w:kern w:val="0"/>
                <w:sz w:val="20"/>
                <w:szCs w:val="20"/>
              </w:rPr>
            </w:pPr>
          </w:p>
        </w:tc>
        <w:tc>
          <w:tcPr>
            <w:tcW w:w="2295" w:type="dxa"/>
            <w:tcBorders>
              <w:top w:val="dashSmallGap" w:color="auto" w:sz="4" w:space="0"/>
              <w:left w:val="dashSmallGap" w:color="auto" w:sz="4" w:space="0"/>
              <w:right w:val="dashSmallGap" w:color="auto" w:sz="4" w:space="0"/>
            </w:tcBorders>
            <w:noWrap w:val="0"/>
            <w:vAlign w:val="center"/>
          </w:tcPr>
          <w:p>
            <w:pPr>
              <w:widowControl/>
              <w:spacing w:line="240" w:lineRule="auto"/>
              <w:jc w:val="center"/>
              <w:rPr>
                <w:rFonts w:hint="eastAsia" w:asciiTheme="minorEastAsia" w:hAnsiTheme="minorEastAsia" w:eastAsiaTheme="minorEastAsia" w:cstheme="minorEastAsia"/>
                <w:snapToGrid w:val="0"/>
                <w:color w:val="auto"/>
                <w:kern w:val="0"/>
                <w:sz w:val="20"/>
                <w:szCs w:val="20"/>
              </w:rPr>
            </w:pPr>
          </w:p>
        </w:tc>
        <w:tc>
          <w:tcPr>
            <w:tcW w:w="1395" w:type="dxa"/>
            <w:tcBorders>
              <w:top w:val="dashSmallGap" w:color="auto" w:sz="4" w:space="0"/>
              <w:left w:val="dashSmallGap" w:color="auto" w:sz="4" w:space="0"/>
              <w:right w:val="dashSmallGap" w:color="auto" w:sz="4" w:space="0"/>
            </w:tcBorders>
            <w:noWrap w:val="0"/>
            <w:vAlign w:val="center"/>
          </w:tcPr>
          <w:p>
            <w:pPr>
              <w:widowControl/>
              <w:spacing w:line="240" w:lineRule="auto"/>
              <w:jc w:val="right"/>
              <w:rPr>
                <w:rFonts w:hint="default" w:ascii="Times New Roman" w:hAnsi="Times New Roman" w:cs="Times New Roman" w:eastAsiaTheme="minorEastAsia"/>
                <w:snapToGrid w:val="0"/>
                <w:color w:val="auto"/>
                <w:kern w:val="0"/>
                <w:sz w:val="20"/>
                <w:szCs w:val="20"/>
              </w:rPr>
            </w:pPr>
            <w:r>
              <w:rPr>
                <w:rFonts w:hint="default" w:ascii="Times New Roman" w:hAnsi="Times New Roman" w:cs="Times New Roman" w:eastAsiaTheme="minorEastAsia"/>
                <w:snapToGrid w:val="0"/>
                <w:color w:val="auto"/>
                <w:kern w:val="0"/>
                <w:sz w:val="20"/>
                <w:szCs w:val="20"/>
              </w:rPr>
              <w:t>29,125,689.28</w:t>
            </w:r>
          </w:p>
        </w:tc>
        <w:tc>
          <w:tcPr>
            <w:tcW w:w="1340" w:type="dxa"/>
            <w:tcBorders>
              <w:top w:val="dashSmallGap" w:color="auto" w:sz="4" w:space="0"/>
              <w:left w:val="dashSmallGap" w:color="auto" w:sz="4" w:space="0"/>
            </w:tcBorders>
            <w:noWrap w:val="0"/>
            <w:vAlign w:val="center"/>
          </w:tcPr>
          <w:p>
            <w:pPr>
              <w:widowControl/>
              <w:spacing w:line="240" w:lineRule="auto"/>
              <w:jc w:val="left"/>
              <w:rPr>
                <w:rFonts w:hint="eastAsia" w:asciiTheme="minorEastAsia" w:hAnsiTheme="minorEastAsia" w:eastAsiaTheme="minorEastAsia" w:cstheme="minorEastAsia"/>
                <w:snapToGrid w:val="0"/>
                <w:color w:val="auto"/>
                <w:kern w:val="0"/>
                <w:sz w:val="20"/>
                <w:szCs w:val="20"/>
              </w:rPr>
            </w:pPr>
          </w:p>
        </w:tc>
      </w:tr>
    </w:tbl>
    <w:p>
      <w:pPr>
        <w:rPr>
          <w:rFonts w:asciiTheme="minorEastAsia" w:hAnsiTheme="minorEastAsia" w:eastAsiaTheme="minorEastAsia" w:cstheme="minorEastAsia"/>
          <w:sz w:val="18"/>
          <w:szCs w:val="18"/>
          <w:highlight w:val="none"/>
        </w:rPr>
      </w:pPr>
      <w:r>
        <w:rPr>
          <w:rFonts w:hint="eastAsia" w:asciiTheme="minorEastAsia" w:hAnsiTheme="minorEastAsia" w:eastAsiaTheme="minorEastAsia" w:cstheme="minorEastAsia"/>
          <w:sz w:val="18"/>
          <w:szCs w:val="18"/>
          <w:highlight w:val="none"/>
        </w:rPr>
        <w:t>[注]：</w:t>
      </w:r>
    </w:p>
    <w:p>
      <w:pPr>
        <w:keepNext w:val="0"/>
        <w:keepLines w:val="0"/>
        <w:pageBreakBefore w:val="0"/>
        <w:widowControl/>
        <w:kinsoku/>
        <w:wordWrap/>
        <w:overflowPunct/>
        <w:topLinePunct w:val="0"/>
        <w:autoSpaceDE/>
        <w:autoSpaceDN w:val="0"/>
        <w:bidi w:val="0"/>
        <w:adjustRightInd/>
        <w:snapToGrid/>
        <w:spacing w:line="240" w:lineRule="auto"/>
        <w:ind w:firstLine="400" w:firstLineChars="200"/>
        <w:jc w:val="left"/>
        <w:textAlignment w:val="auto"/>
        <w:rPr>
          <w:rFonts w:hint="eastAsia" w:ascii="宋体" w:hAnsi="宋体" w:eastAsia="宋体" w:cs="宋体"/>
          <w:snapToGrid w:val="0"/>
          <w:color w:val="auto"/>
          <w:kern w:val="0"/>
          <w:sz w:val="20"/>
          <w:szCs w:val="20"/>
          <w:lang w:eastAsia="zh-CN"/>
        </w:rPr>
      </w:pPr>
      <w:r>
        <w:rPr>
          <w:rFonts w:hint="eastAsia" w:ascii="宋体" w:hAnsi="宋体" w:eastAsia="宋体" w:cs="宋体"/>
          <w:snapToGrid w:val="0"/>
          <w:color w:val="auto"/>
          <w:kern w:val="0"/>
          <w:sz w:val="20"/>
          <w:szCs w:val="20"/>
        </w:rPr>
        <w:t>注1：2017年6月8日，江苏吴中医药集团有限公司苏州制药厂在中国银行股份有限公司苏州吴中支行开设募集资金专项账户，账号为475470328000，专户中的募集资金以活期存款的形式存在。该专户仅用于江苏吴中医药集团有限公司苏州制药厂原料药二期项目募集资金的存储和使用</w:t>
      </w:r>
      <w:r>
        <w:rPr>
          <w:rFonts w:hint="eastAsia" w:ascii="宋体" w:hAnsi="宋体" w:cs="宋体"/>
          <w:snapToGrid w:val="0"/>
          <w:color w:val="auto"/>
          <w:kern w:val="0"/>
          <w:sz w:val="20"/>
          <w:szCs w:val="20"/>
          <w:lang w:eastAsia="zh-CN"/>
        </w:rPr>
        <w:t>。</w:t>
      </w:r>
    </w:p>
    <w:p>
      <w:pPr>
        <w:keepNext w:val="0"/>
        <w:keepLines w:val="0"/>
        <w:pageBreakBefore w:val="0"/>
        <w:widowControl/>
        <w:kinsoku/>
        <w:wordWrap/>
        <w:overflowPunct/>
        <w:topLinePunct w:val="0"/>
        <w:autoSpaceDE/>
        <w:autoSpaceDN w:val="0"/>
        <w:bidi w:val="0"/>
        <w:adjustRightInd/>
        <w:snapToGrid/>
        <w:spacing w:line="240" w:lineRule="auto"/>
        <w:ind w:firstLine="400" w:firstLineChars="200"/>
        <w:jc w:val="left"/>
        <w:textAlignment w:val="auto"/>
        <w:rPr>
          <w:rFonts w:hint="eastAsia" w:ascii="宋体" w:hAnsi="宋体" w:eastAsia="宋体" w:cs="宋体"/>
          <w:snapToGrid w:val="0"/>
          <w:color w:val="auto"/>
          <w:kern w:val="0"/>
          <w:sz w:val="20"/>
          <w:szCs w:val="20"/>
          <w:lang w:eastAsia="zh-CN"/>
        </w:rPr>
      </w:pPr>
      <w:r>
        <w:rPr>
          <w:rFonts w:hint="eastAsia" w:ascii="宋体" w:hAnsi="宋体" w:eastAsia="宋体" w:cs="宋体"/>
          <w:snapToGrid w:val="0"/>
          <w:color w:val="auto"/>
          <w:kern w:val="0"/>
          <w:sz w:val="20"/>
          <w:szCs w:val="20"/>
        </w:rPr>
        <w:t>注2：2019年9月4日，苏州泽润新药研发有限公司在中国农业银行股份有限公司苏州南门支行开设募集资金专项账户，账号为10553301040017652，专户中的募集资金以活期存款的形式存在,该专户仅用于苏州泽润新药研发有限公司抗肿瘤1类新药YS001的研发项目募集资金的存储和使用</w:t>
      </w:r>
      <w:r>
        <w:rPr>
          <w:rFonts w:hint="eastAsia" w:ascii="宋体" w:hAnsi="宋体" w:cs="宋体"/>
          <w:snapToGrid w:val="0"/>
          <w:color w:val="auto"/>
          <w:kern w:val="0"/>
          <w:sz w:val="20"/>
          <w:szCs w:val="20"/>
          <w:lang w:eastAsia="zh-CN"/>
        </w:rPr>
        <w:t>。</w:t>
      </w:r>
    </w:p>
    <w:p>
      <w:pPr>
        <w:keepNext w:val="0"/>
        <w:keepLines w:val="0"/>
        <w:pageBreakBefore w:val="0"/>
        <w:widowControl/>
        <w:kinsoku/>
        <w:wordWrap/>
        <w:overflowPunct/>
        <w:topLinePunct w:val="0"/>
        <w:autoSpaceDE/>
        <w:autoSpaceDN w:val="0"/>
        <w:bidi w:val="0"/>
        <w:adjustRightInd/>
        <w:snapToGrid/>
        <w:spacing w:line="240" w:lineRule="auto"/>
        <w:ind w:firstLine="400" w:firstLineChars="200"/>
        <w:jc w:val="left"/>
        <w:textAlignment w:val="auto"/>
        <w:rPr>
          <w:rFonts w:hint="eastAsia" w:ascii="宋体" w:hAnsi="宋体" w:eastAsia="宋体" w:cs="宋体"/>
          <w:snapToGrid w:val="0"/>
          <w:color w:val="auto"/>
          <w:kern w:val="0"/>
          <w:sz w:val="20"/>
          <w:szCs w:val="20"/>
          <w:lang w:eastAsia="zh-CN"/>
        </w:rPr>
      </w:pPr>
      <w:r>
        <w:rPr>
          <w:rFonts w:hint="eastAsia" w:ascii="宋体" w:hAnsi="宋体" w:eastAsia="宋体" w:cs="宋体"/>
          <w:snapToGrid w:val="0"/>
          <w:color w:val="auto"/>
          <w:kern w:val="0"/>
          <w:sz w:val="20"/>
          <w:szCs w:val="20"/>
        </w:rPr>
        <w:t>注3：2019年9月5日，江苏吴中医药集团有限公司苏州制药厂在中国农业银行股份有限公司苏州南门支行开设1个募集资金专项账户，账号为10553301040017678，仅用于利奈唑胺与沃诺拉赞的仿制项目募集资金的存储和使用，均以活期存款的形式存在</w:t>
      </w:r>
      <w:r>
        <w:rPr>
          <w:rFonts w:hint="eastAsia" w:ascii="宋体" w:hAnsi="宋体" w:cs="宋体"/>
          <w:snapToGrid w:val="0"/>
          <w:color w:val="auto"/>
          <w:kern w:val="0"/>
          <w:sz w:val="20"/>
          <w:szCs w:val="20"/>
          <w:lang w:eastAsia="zh-CN"/>
        </w:rPr>
        <w:t>。</w:t>
      </w:r>
    </w:p>
    <w:p>
      <w:pPr>
        <w:keepNext w:val="0"/>
        <w:keepLines w:val="0"/>
        <w:pageBreakBefore w:val="0"/>
        <w:widowControl/>
        <w:kinsoku/>
        <w:wordWrap/>
        <w:overflowPunct/>
        <w:topLinePunct w:val="0"/>
        <w:autoSpaceDE/>
        <w:autoSpaceDN w:val="0"/>
        <w:bidi w:val="0"/>
        <w:adjustRightInd/>
        <w:snapToGrid/>
        <w:spacing w:line="240" w:lineRule="auto"/>
        <w:ind w:firstLine="400" w:firstLineChars="200"/>
        <w:jc w:val="left"/>
        <w:textAlignment w:val="auto"/>
        <w:rPr>
          <w:rFonts w:hint="eastAsia" w:ascii="宋体" w:hAnsi="宋体" w:eastAsia="宋体" w:cs="宋体"/>
          <w:snapToGrid w:val="0"/>
          <w:color w:val="auto"/>
          <w:kern w:val="0"/>
          <w:sz w:val="20"/>
          <w:szCs w:val="20"/>
          <w:lang w:eastAsia="zh-CN"/>
        </w:rPr>
      </w:pPr>
      <w:r>
        <w:rPr>
          <w:rFonts w:hint="eastAsia" w:ascii="宋体" w:hAnsi="宋体" w:eastAsia="宋体" w:cs="宋体"/>
          <w:snapToGrid w:val="0"/>
          <w:color w:val="auto"/>
          <w:kern w:val="0"/>
          <w:sz w:val="20"/>
          <w:szCs w:val="20"/>
        </w:rPr>
        <w:t>注4：2019年9月6号，江苏吴中医药集团有限公司苏州制药厂在中国农业银行股份有限公司苏州南门支行开设1个募集资金专项账户，账号为10553301040017694，仅用于西洛他唑等上市化学仿制药的一致性评价项目募集资金的存储和使用，均以活期存款的形式存在</w:t>
      </w:r>
      <w:r>
        <w:rPr>
          <w:rFonts w:hint="eastAsia" w:ascii="宋体" w:hAnsi="宋体" w:cs="宋体"/>
          <w:snapToGrid w:val="0"/>
          <w:color w:val="auto"/>
          <w:kern w:val="0"/>
          <w:sz w:val="20"/>
          <w:szCs w:val="20"/>
          <w:lang w:eastAsia="zh-CN"/>
        </w:rPr>
        <w:t>。</w:t>
      </w:r>
    </w:p>
    <w:p>
      <w:pPr>
        <w:keepNext w:val="0"/>
        <w:keepLines w:val="0"/>
        <w:pageBreakBefore w:val="0"/>
        <w:widowControl/>
        <w:kinsoku/>
        <w:wordWrap/>
        <w:overflowPunct/>
        <w:topLinePunct w:val="0"/>
        <w:autoSpaceDE/>
        <w:autoSpaceDN w:val="0"/>
        <w:bidi w:val="0"/>
        <w:adjustRightInd/>
        <w:snapToGrid/>
        <w:spacing w:line="240" w:lineRule="auto"/>
        <w:ind w:firstLine="400" w:firstLineChars="200"/>
        <w:jc w:val="left"/>
        <w:textAlignment w:val="auto"/>
        <w:rPr>
          <w:rFonts w:hint="eastAsia" w:ascii="宋体" w:hAnsi="宋体" w:eastAsia="宋体" w:cs="宋体"/>
          <w:snapToGrid w:val="0"/>
          <w:color w:val="auto"/>
          <w:kern w:val="0"/>
          <w:sz w:val="20"/>
          <w:szCs w:val="20"/>
          <w:lang w:eastAsia="zh-CN"/>
        </w:rPr>
      </w:pPr>
      <w:r>
        <w:rPr>
          <w:rFonts w:hint="eastAsia" w:ascii="宋体" w:hAnsi="宋体" w:eastAsia="宋体" w:cs="宋体"/>
          <w:snapToGrid w:val="0"/>
          <w:color w:val="auto"/>
          <w:kern w:val="0"/>
          <w:sz w:val="20"/>
          <w:szCs w:val="20"/>
        </w:rPr>
        <w:t>注5：截至2016年7月22日，公司已注销中国农业银行苏州南门支行募集资金专户(账号10553301040012703)及交通银行股份有限公司苏州吴中支行募集资金专户(账号325325400018800007690)</w:t>
      </w:r>
      <w:r>
        <w:rPr>
          <w:rFonts w:hint="eastAsia" w:ascii="宋体" w:hAnsi="宋体" w:cs="宋体"/>
          <w:snapToGrid w:val="0"/>
          <w:color w:val="auto"/>
          <w:kern w:val="0"/>
          <w:sz w:val="20"/>
          <w:szCs w:val="20"/>
          <w:lang w:eastAsia="zh-CN"/>
        </w:rPr>
        <w:t>。</w:t>
      </w:r>
    </w:p>
    <w:p>
      <w:pPr>
        <w:keepNext w:val="0"/>
        <w:keepLines w:val="0"/>
        <w:pageBreakBefore w:val="0"/>
        <w:widowControl/>
        <w:kinsoku/>
        <w:wordWrap/>
        <w:overflowPunct/>
        <w:topLinePunct w:val="0"/>
        <w:autoSpaceDE/>
        <w:autoSpaceDN w:val="0"/>
        <w:bidi w:val="0"/>
        <w:adjustRightInd/>
        <w:snapToGrid/>
        <w:spacing w:line="240" w:lineRule="auto"/>
        <w:ind w:firstLine="400" w:firstLineChars="200"/>
        <w:jc w:val="left"/>
        <w:textAlignment w:val="auto"/>
        <w:rPr>
          <w:rFonts w:hint="eastAsia" w:ascii="宋体" w:hAnsi="宋体" w:eastAsia="宋体" w:cs="宋体"/>
          <w:snapToGrid w:val="0"/>
          <w:color w:val="auto"/>
          <w:kern w:val="0"/>
          <w:sz w:val="20"/>
          <w:szCs w:val="20"/>
          <w:lang w:eastAsia="zh-CN"/>
        </w:rPr>
      </w:pPr>
      <w:r>
        <w:rPr>
          <w:rFonts w:hint="eastAsia" w:ascii="宋体" w:hAnsi="宋体" w:eastAsia="宋体" w:cs="宋体"/>
          <w:snapToGrid w:val="0"/>
          <w:color w:val="auto"/>
          <w:kern w:val="0"/>
          <w:sz w:val="20"/>
          <w:szCs w:val="20"/>
        </w:rPr>
        <w:t>注6：截至2017年12月8日，公司已注销中国银行股份有限公司苏州吴中支行开立的募集资金专用账户(账号:487167582565)及在中国银行股份有限公司苏州吴中支行开立的募集资金专用账户(账号:530067627287)</w:t>
      </w:r>
      <w:r>
        <w:rPr>
          <w:rFonts w:hint="eastAsia" w:ascii="宋体" w:hAnsi="宋体" w:cs="宋体"/>
          <w:snapToGrid w:val="0"/>
          <w:color w:val="auto"/>
          <w:kern w:val="0"/>
          <w:sz w:val="20"/>
          <w:szCs w:val="20"/>
          <w:lang w:eastAsia="zh-CN"/>
        </w:rPr>
        <w:t>。</w:t>
      </w:r>
    </w:p>
    <w:p>
      <w:pPr>
        <w:keepNext w:val="0"/>
        <w:keepLines w:val="0"/>
        <w:pageBreakBefore w:val="0"/>
        <w:widowControl/>
        <w:kinsoku/>
        <w:wordWrap/>
        <w:overflowPunct/>
        <w:topLinePunct w:val="0"/>
        <w:autoSpaceDE/>
        <w:autoSpaceDN w:val="0"/>
        <w:bidi w:val="0"/>
        <w:adjustRightInd/>
        <w:snapToGrid/>
        <w:spacing w:line="240" w:lineRule="auto"/>
        <w:ind w:firstLine="400" w:firstLineChars="200"/>
        <w:jc w:val="left"/>
        <w:textAlignment w:val="auto"/>
        <w:rPr>
          <w:rFonts w:hint="eastAsia" w:ascii="宋体" w:hAnsi="宋体" w:eastAsia="宋体" w:cs="宋体"/>
          <w:snapToGrid w:val="0"/>
          <w:color w:val="auto"/>
          <w:kern w:val="0"/>
          <w:sz w:val="20"/>
          <w:szCs w:val="20"/>
          <w:lang w:eastAsia="zh-CN"/>
        </w:rPr>
      </w:pPr>
      <w:r>
        <w:rPr>
          <w:rFonts w:hint="eastAsia" w:ascii="宋体" w:hAnsi="宋体" w:eastAsia="宋体" w:cs="宋体"/>
          <w:snapToGrid w:val="0"/>
          <w:color w:val="auto"/>
          <w:kern w:val="0"/>
          <w:sz w:val="20"/>
          <w:szCs w:val="20"/>
        </w:rPr>
        <w:t>注7：截至2018年7月18日，公司已注销招商银行股份有限公司苏州吴中支行开立的募集资金专用账户（账号：512902474610829）</w:t>
      </w:r>
      <w:r>
        <w:rPr>
          <w:rFonts w:hint="eastAsia" w:ascii="宋体" w:hAnsi="宋体" w:cs="宋体"/>
          <w:snapToGrid w:val="0"/>
          <w:color w:val="auto"/>
          <w:kern w:val="0"/>
          <w:sz w:val="20"/>
          <w:szCs w:val="20"/>
          <w:lang w:eastAsia="zh-CN"/>
        </w:rPr>
        <w:t>。</w:t>
      </w:r>
    </w:p>
    <w:p>
      <w:pPr>
        <w:keepNext w:val="0"/>
        <w:keepLines w:val="0"/>
        <w:pageBreakBefore w:val="0"/>
        <w:widowControl/>
        <w:kinsoku/>
        <w:wordWrap/>
        <w:overflowPunct/>
        <w:topLinePunct w:val="0"/>
        <w:autoSpaceDE/>
        <w:autoSpaceDN w:val="0"/>
        <w:bidi w:val="0"/>
        <w:adjustRightInd/>
        <w:snapToGrid/>
        <w:spacing w:line="240" w:lineRule="auto"/>
        <w:ind w:firstLine="400" w:firstLineChars="200"/>
        <w:jc w:val="left"/>
        <w:textAlignment w:val="auto"/>
        <w:rPr>
          <w:rFonts w:hint="eastAsia" w:ascii="宋体" w:hAnsi="宋体" w:eastAsia="宋体" w:cs="宋体"/>
          <w:snapToGrid w:val="0"/>
          <w:color w:val="auto"/>
          <w:kern w:val="0"/>
          <w:sz w:val="20"/>
          <w:szCs w:val="20"/>
          <w:lang w:eastAsia="zh-CN"/>
        </w:rPr>
      </w:pPr>
      <w:r>
        <w:rPr>
          <w:rFonts w:hint="eastAsia" w:ascii="宋体" w:hAnsi="宋体" w:eastAsia="宋体" w:cs="宋体"/>
          <w:snapToGrid w:val="0"/>
          <w:color w:val="auto"/>
          <w:kern w:val="0"/>
          <w:sz w:val="20"/>
          <w:szCs w:val="20"/>
        </w:rPr>
        <w:t>注8：截至2019年10月17日，公司已注销中国农业银行苏州南门支行募集资金专户(账号10553301040012760)。该专户注销时余额分项转入中国农业银行苏州南门支行募集资金专户（账号一10553301040017652，账号二10553301040017694，账号三10553301040017678）</w:t>
      </w:r>
      <w:r>
        <w:rPr>
          <w:rFonts w:hint="eastAsia" w:ascii="宋体" w:hAnsi="宋体" w:cs="宋体"/>
          <w:snapToGrid w:val="0"/>
          <w:color w:val="auto"/>
          <w:kern w:val="0"/>
          <w:sz w:val="20"/>
          <w:szCs w:val="20"/>
          <w:lang w:eastAsia="zh-CN"/>
        </w:rPr>
        <w:t>。</w:t>
      </w:r>
    </w:p>
    <w:p>
      <w:pPr>
        <w:keepNext w:val="0"/>
        <w:keepLines w:val="0"/>
        <w:pageBreakBefore w:val="0"/>
        <w:widowControl/>
        <w:kinsoku/>
        <w:wordWrap/>
        <w:overflowPunct/>
        <w:topLinePunct w:val="0"/>
        <w:autoSpaceDE/>
        <w:autoSpaceDN w:val="0"/>
        <w:bidi w:val="0"/>
        <w:adjustRightInd/>
        <w:snapToGrid/>
        <w:spacing w:line="240" w:lineRule="auto"/>
        <w:ind w:firstLine="400" w:firstLineChars="200"/>
        <w:jc w:val="left"/>
        <w:textAlignment w:val="auto"/>
        <w:rPr>
          <w:rFonts w:hint="eastAsia" w:ascii="宋体" w:hAnsi="宋体" w:eastAsia="宋体" w:cs="宋体"/>
          <w:snapToGrid w:val="0"/>
          <w:color w:val="auto"/>
          <w:kern w:val="0"/>
          <w:sz w:val="20"/>
          <w:szCs w:val="20"/>
          <w:lang w:eastAsia="zh-CN"/>
        </w:rPr>
      </w:pPr>
      <w:r>
        <w:rPr>
          <w:rFonts w:hint="eastAsia" w:ascii="宋体" w:hAnsi="宋体" w:eastAsia="宋体" w:cs="宋体"/>
          <w:snapToGrid w:val="0"/>
          <w:color w:val="auto"/>
          <w:kern w:val="0"/>
          <w:sz w:val="20"/>
          <w:szCs w:val="20"/>
        </w:rPr>
        <w:t>注9：截至2020年11月16日，公司已注销中国工商银行吴中支行开立的募集资金专用账户（1102026219000744978）</w:t>
      </w:r>
      <w:r>
        <w:rPr>
          <w:rFonts w:hint="eastAsia" w:ascii="宋体" w:hAnsi="宋体" w:cs="宋体"/>
          <w:snapToGrid w:val="0"/>
          <w:color w:val="auto"/>
          <w:kern w:val="0"/>
          <w:sz w:val="20"/>
          <w:szCs w:val="20"/>
          <w:lang w:eastAsia="zh-CN"/>
        </w:rPr>
        <w:t>。</w:t>
      </w:r>
    </w:p>
    <w:p>
      <w:pPr>
        <w:keepNext/>
        <w:keepLines/>
        <w:spacing w:line="360" w:lineRule="auto"/>
        <w:ind w:firstLine="482" w:firstLineChars="200"/>
        <w:outlineLvl w:val="0"/>
        <w:rPr>
          <w:rFonts w:asciiTheme="minorEastAsia" w:hAnsiTheme="minorEastAsia" w:eastAsiaTheme="minorEastAsia" w:cstheme="minorEastAsia"/>
          <w:b/>
          <w:bCs/>
          <w:sz w:val="24"/>
          <w:highlight w:val="none"/>
        </w:rPr>
      </w:pPr>
      <w:r>
        <w:rPr>
          <w:rFonts w:hint="eastAsia" w:asciiTheme="minorEastAsia" w:hAnsiTheme="minorEastAsia" w:eastAsiaTheme="minorEastAsia" w:cstheme="minorEastAsia"/>
          <w:b/>
          <w:bCs/>
          <w:kern w:val="44"/>
          <w:sz w:val="24"/>
          <w:highlight w:val="none"/>
        </w:rPr>
        <w:t>三、本报告期募集资金的实际使用情况</w:t>
      </w:r>
    </w:p>
    <w:p>
      <w:pPr>
        <w:autoSpaceDE w:val="0"/>
        <w:autoSpaceDN w:val="0"/>
        <w:adjustRightInd w:val="0"/>
        <w:spacing w:line="360" w:lineRule="auto"/>
        <w:ind w:firstLine="480" w:firstLineChars="200"/>
        <w:rPr>
          <w:rFonts w:hint="eastAsia" w:asciiTheme="minorEastAsia" w:hAnsiTheme="minorEastAsia" w:eastAsiaTheme="minorEastAsia" w:cstheme="minorEastAsia"/>
          <w:kern w:val="2"/>
          <w:sz w:val="24"/>
        </w:rPr>
      </w:pPr>
      <w:r>
        <w:rPr>
          <w:rFonts w:hint="eastAsia" w:asciiTheme="minorEastAsia" w:hAnsiTheme="minorEastAsia" w:eastAsiaTheme="minorEastAsia" w:cstheme="minorEastAsia"/>
          <w:kern w:val="2"/>
          <w:sz w:val="24"/>
        </w:rPr>
        <w:t>2023年度《募集资金使用情况对照表》详见本报告附件1。</w:t>
      </w:r>
    </w:p>
    <w:p>
      <w:pPr>
        <w:autoSpaceDE w:val="0"/>
        <w:autoSpaceDN w:val="0"/>
        <w:adjustRightInd w:val="0"/>
        <w:spacing w:line="360" w:lineRule="auto"/>
        <w:ind w:firstLine="480" w:firstLineChars="200"/>
        <w:rPr>
          <w:rFonts w:hint="eastAsia" w:asciiTheme="minorEastAsia" w:hAnsiTheme="minorEastAsia" w:eastAsiaTheme="minorEastAsia" w:cstheme="minorEastAsia"/>
          <w:kern w:val="2"/>
          <w:sz w:val="24"/>
        </w:rPr>
      </w:pPr>
      <w:r>
        <w:rPr>
          <w:rFonts w:hint="eastAsia" w:asciiTheme="minorEastAsia" w:hAnsiTheme="minorEastAsia" w:eastAsiaTheme="minorEastAsia" w:cstheme="minorEastAsia"/>
          <w:kern w:val="2"/>
          <w:sz w:val="24"/>
        </w:rPr>
        <w:t>(一)募集资金投资项目先期投入及置换情况。</w:t>
      </w:r>
    </w:p>
    <w:p>
      <w:pPr>
        <w:autoSpaceDE w:val="0"/>
        <w:autoSpaceDN w:val="0"/>
        <w:adjustRightInd w:val="0"/>
        <w:spacing w:line="360" w:lineRule="auto"/>
        <w:ind w:firstLine="480" w:firstLineChars="200"/>
        <w:rPr>
          <w:rFonts w:hint="eastAsia" w:asciiTheme="minorEastAsia" w:hAnsiTheme="minorEastAsia" w:eastAsiaTheme="minorEastAsia" w:cstheme="minorEastAsia"/>
          <w:kern w:val="2"/>
          <w:sz w:val="24"/>
        </w:rPr>
      </w:pPr>
      <w:bookmarkStart w:id="2" w:name="_Hlk63263262"/>
      <w:r>
        <w:rPr>
          <w:rFonts w:hint="eastAsia" w:asciiTheme="minorEastAsia" w:hAnsiTheme="minorEastAsia" w:eastAsiaTheme="minorEastAsia" w:cstheme="minorEastAsia"/>
          <w:kern w:val="2"/>
          <w:sz w:val="24"/>
        </w:rPr>
        <w:t>立信会计师事务所（特殊普通合伙）对公司以自筹资金预先投入募集资金投资项目的情况进行了专项审核，并出具了“信会师报字（2015）第115404号”《关于江苏吴中实业股份有限公司以自筹资金预先投入募集资金投资项目的专项鉴证报告》。公司于2015年10月29日召开的第八届董事会第四次会议及第八届监事会第四次会议审议通过了《关于以募集资金置换预先投入募投项目的自筹资金的议案》，同意公司以自筹资金预先投入募集资金投资项目的金额为47,964,197.53元。</w:t>
      </w:r>
      <w:bookmarkEnd w:id="2"/>
    </w:p>
    <w:p>
      <w:pPr>
        <w:autoSpaceDE w:val="0"/>
        <w:autoSpaceDN w:val="0"/>
        <w:adjustRightInd w:val="0"/>
        <w:spacing w:line="360" w:lineRule="auto"/>
        <w:ind w:firstLine="480" w:firstLineChars="200"/>
        <w:rPr>
          <w:rFonts w:hint="eastAsia" w:asciiTheme="minorEastAsia" w:hAnsiTheme="minorEastAsia" w:eastAsiaTheme="minorEastAsia" w:cstheme="minorEastAsia"/>
          <w:kern w:val="2"/>
          <w:sz w:val="24"/>
        </w:rPr>
      </w:pPr>
      <w:r>
        <w:rPr>
          <w:rFonts w:hint="eastAsia" w:asciiTheme="minorEastAsia" w:hAnsiTheme="minorEastAsia" w:eastAsiaTheme="minorEastAsia" w:cstheme="minorEastAsia"/>
          <w:kern w:val="2"/>
          <w:sz w:val="24"/>
        </w:rPr>
        <w:t>(二)用闲置募集资金暂时补充流动资金情况。</w:t>
      </w:r>
    </w:p>
    <w:p>
      <w:pPr>
        <w:autoSpaceDE w:val="0"/>
        <w:autoSpaceDN w:val="0"/>
        <w:adjustRightInd w:val="0"/>
        <w:spacing w:line="360" w:lineRule="auto"/>
        <w:ind w:firstLine="480" w:firstLineChars="200"/>
        <w:rPr>
          <w:rFonts w:hint="eastAsia" w:asciiTheme="minorEastAsia" w:hAnsiTheme="minorEastAsia" w:eastAsiaTheme="minorEastAsia" w:cstheme="minorEastAsia"/>
          <w:kern w:val="2"/>
          <w:sz w:val="24"/>
        </w:rPr>
      </w:pPr>
      <w:r>
        <w:rPr>
          <w:rFonts w:hint="eastAsia" w:asciiTheme="minorEastAsia" w:hAnsiTheme="minorEastAsia" w:eastAsiaTheme="minorEastAsia" w:cstheme="minorEastAsia"/>
          <w:kern w:val="2"/>
          <w:sz w:val="24"/>
        </w:rPr>
        <w:t>公司不存在用闲置募集资金暂时补充流动资金情况。</w:t>
      </w:r>
    </w:p>
    <w:p>
      <w:pPr>
        <w:autoSpaceDE w:val="0"/>
        <w:autoSpaceDN w:val="0"/>
        <w:adjustRightInd w:val="0"/>
        <w:spacing w:line="360" w:lineRule="auto"/>
        <w:ind w:firstLine="480" w:firstLineChars="200"/>
        <w:rPr>
          <w:rFonts w:hint="eastAsia" w:asciiTheme="minorEastAsia" w:hAnsiTheme="minorEastAsia" w:eastAsiaTheme="minorEastAsia" w:cstheme="minorEastAsia"/>
          <w:kern w:val="2"/>
          <w:sz w:val="24"/>
        </w:rPr>
      </w:pPr>
      <w:r>
        <w:rPr>
          <w:rFonts w:hint="eastAsia" w:asciiTheme="minorEastAsia" w:hAnsiTheme="minorEastAsia" w:eastAsiaTheme="minorEastAsia" w:cstheme="minorEastAsia"/>
          <w:kern w:val="2"/>
          <w:sz w:val="24"/>
        </w:rPr>
        <w:t>(三)对闲置募集资金进行现金管理，投资相关产品情况。</w:t>
      </w:r>
    </w:p>
    <w:p>
      <w:pPr>
        <w:autoSpaceDE w:val="0"/>
        <w:autoSpaceDN w:val="0"/>
        <w:adjustRightInd w:val="0"/>
        <w:spacing w:line="360" w:lineRule="auto"/>
        <w:ind w:firstLine="480" w:firstLineChars="200"/>
        <w:rPr>
          <w:rFonts w:hint="eastAsia" w:asciiTheme="minorEastAsia" w:hAnsiTheme="minorEastAsia" w:eastAsiaTheme="minorEastAsia" w:cstheme="minorEastAsia"/>
          <w:kern w:val="2"/>
          <w:sz w:val="24"/>
        </w:rPr>
      </w:pPr>
      <w:r>
        <w:rPr>
          <w:rFonts w:hint="eastAsia" w:asciiTheme="minorEastAsia" w:hAnsiTheme="minorEastAsia" w:eastAsiaTheme="minorEastAsia" w:cstheme="minorEastAsia"/>
          <w:kern w:val="2"/>
          <w:sz w:val="24"/>
        </w:rPr>
        <w:t>2016年8月25日，公司召开的第八届董事会第九次会议及第八届监事会第九次会议，审议通过了《江苏吴中实业股份有限公司关于使用闲置募集资金进行现金管理的议案》，同意公司使用不超过人民币16,000万元的闲置募集资金进行现金管理。</w:t>
      </w:r>
    </w:p>
    <w:p>
      <w:pPr>
        <w:autoSpaceDE w:val="0"/>
        <w:autoSpaceDN w:val="0"/>
        <w:adjustRightInd w:val="0"/>
        <w:spacing w:line="360" w:lineRule="auto"/>
        <w:ind w:firstLine="480" w:firstLineChars="200"/>
        <w:rPr>
          <w:rFonts w:hint="eastAsia" w:asciiTheme="minorEastAsia" w:hAnsiTheme="minorEastAsia" w:eastAsiaTheme="minorEastAsia" w:cstheme="minorEastAsia"/>
          <w:kern w:val="2"/>
          <w:sz w:val="24"/>
        </w:rPr>
      </w:pPr>
      <w:r>
        <w:rPr>
          <w:rFonts w:hint="eastAsia" w:asciiTheme="minorEastAsia" w:hAnsiTheme="minorEastAsia" w:eastAsiaTheme="minorEastAsia" w:cstheme="minorEastAsia"/>
          <w:kern w:val="2"/>
          <w:sz w:val="24"/>
        </w:rPr>
        <w:t>2017年8月21日，公司召开的第八届董事会第十二次会议及第八届监事会第十二次会议，审议通过了《江苏吴中实业股份有限公司关于使用部分闲置非公开发行募集资金进行现金管理的议案》，同意公司使用不超过人民币10,000万元的闲置募集资金进行现金管理。</w:t>
      </w:r>
    </w:p>
    <w:p>
      <w:pPr>
        <w:autoSpaceDE w:val="0"/>
        <w:autoSpaceDN w:val="0"/>
        <w:adjustRightInd w:val="0"/>
        <w:spacing w:line="360" w:lineRule="auto"/>
        <w:ind w:firstLine="480" w:firstLineChars="200"/>
        <w:rPr>
          <w:rFonts w:hint="eastAsia" w:asciiTheme="minorEastAsia" w:hAnsiTheme="minorEastAsia" w:eastAsiaTheme="minorEastAsia" w:cstheme="minorEastAsia"/>
          <w:kern w:val="2"/>
          <w:sz w:val="24"/>
        </w:rPr>
      </w:pPr>
      <w:r>
        <w:rPr>
          <w:rFonts w:hint="eastAsia" w:asciiTheme="minorEastAsia" w:hAnsiTheme="minorEastAsia" w:eastAsiaTheme="minorEastAsia" w:cstheme="minorEastAsia"/>
          <w:kern w:val="2"/>
          <w:sz w:val="24"/>
        </w:rPr>
        <w:t>2018年8月20日召开的第九届董事会第二次会议和第九届监事会第二次会议，审议通过了《江苏吴中实业股份有限公司关于使用部分闲置非公开发行募集资金进行现金管理的议案》，同意公司使用不超过人民币8,000万元的闲置非公开募集资金进行现金管理。</w:t>
      </w:r>
    </w:p>
    <w:p>
      <w:pPr>
        <w:autoSpaceDE w:val="0"/>
        <w:autoSpaceDN w:val="0"/>
        <w:adjustRightInd w:val="0"/>
        <w:spacing w:line="360" w:lineRule="auto"/>
        <w:ind w:firstLine="480" w:firstLineChars="200"/>
        <w:rPr>
          <w:rFonts w:hint="eastAsia" w:asciiTheme="minorEastAsia" w:hAnsiTheme="minorEastAsia" w:eastAsiaTheme="minorEastAsia" w:cstheme="minorEastAsia"/>
          <w:kern w:val="2"/>
          <w:sz w:val="24"/>
        </w:rPr>
      </w:pPr>
      <w:r>
        <w:rPr>
          <w:rFonts w:hint="eastAsia" w:asciiTheme="minorEastAsia" w:hAnsiTheme="minorEastAsia" w:eastAsiaTheme="minorEastAsia" w:cstheme="minorEastAsia"/>
          <w:kern w:val="2"/>
          <w:sz w:val="24"/>
        </w:rPr>
        <w:t>2019年6月28日召开的第九届董事会2019年第四次临时会议（通讯表决）和第九届监事会2019年第三次临时会议（通讯表决），审议通过了《江苏吴中实业股份有限公司关于使用部分闲置非公开发行募集资金进行现金管理的议案》。同意公司使用总额不超过人民币4,000万元的闲置非公开募集资金进行现金管理。</w:t>
      </w:r>
    </w:p>
    <w:p>
      <w:pPr>
        <w:autoSpaceDE w:val="0"/>
        <w:autoSpaceDN w:val="0"/>
        <w:adjustRightInd w:val="0"/>
        <w:spacing w:line="360" w:lineRule="auto"/>
        <w:ind w:firstLine="480" w:firstLineChars="200"/>
        <w:rPr>
          <w:rFonts w:hint="eastAsia" w:asciiTheme="minorEastAsia" w:hAnsiTheme="minorEastAsia" w:eastAsiaTheme="minorEastAsia" w:cstheme="minorEastAsia"/>
          <w:kern w:val="2"/>
          <w:sz w:val="24"/>
        </w:rPr>
      </w:pPr>
      <w:r>
        <w:rPr>
          <w:rFonts w:hint="eastAsia" w:asciiTheme="minorEastAsia" w:hAnsiTheme="minorEastAsia" w:eastAsiaTheme="minorEastAsia" w:cstheme="minorEastAsia"/>
          <w:kern w:val="2"/>
          <w:sz w:val="24"/>
        </w:rPr>
        <w:t>2020年4月28日，公司召开第九届董事会第九次会议（通讯表决）和第九届监事会第九次会议（通讯表决），审议通过了《江苏吴中实业股份有限公司关于使用部分闲置非公开发行募集资金进行现金管理的议案》，同意公司使用总额不超过人民币4,000万元的闲置非公开募集资金进行现金管理，在上述额度及决议有效期内，资金可以循环滚动使用。</w:t>
      </w:r>
    </w:p>
    <w:p>
      <w:pPr>
        <w:autoSpaceDE w:val="0"/>
        <w:autoSpaceDN w:val="0"/>
        <w:adjustRightInd w:val="0"/>
        <w:spacing w:line="360" w:lineRule="auto"/>
        <w:ind w:firstLine="480" w:firstLineChars="200"/>
        <w:rPr>
          <w:rFonts w:hint="eastAsia" w:asciiTheme="minorEastAsia" w:hAnsiTheme="minorEastAsia" w:eastAsiaTheme="minorEastAsia" w:cstheme="minorEastAsia"/>
          <w:kern w:val="2"/>
          <w:sz w:val="24"/>
        </w:rPr>
      </w:pPr>
      <w:r>
        <w:rPr>
          <w:rFonts w:hint="eastAsia" w:asciiTheme="minorEastAsia" w:hAnsiTheme="minorEastAsia" w:eastAsiaTheme="minorEastAsia" w:cstheme="minorEastAsia"/>
          <w:kern w:val="2"/>
          <w:sz w:val="24"/>
        </w:rPr>
        <w:t>2021年3月15日，公司召开第九届董事会2021年第二次临时会议（通讯表决）和第九届监事会2021年第一次临时会议（通讯表决），审议通过了《江苏吴中医药发展股份有限公司关于使用部分闲置非公开发行募集资金进行现金管理的议案》，同意公司使用总额不超过人民币4,000万元的闲置非公开发行募集资金进行现金管理事宜，在上述额度内，资金可以在12个月内滚动使用。</w:t>
      </w:r>
    </w:p>
    <w:p>
      <w:pPr>
        <w:autoSpaceDE w:val="0"/>
        <w:autoSpaceDN w:val="0"/>
        <w:adjustRightInd w:val="0"/>
        <w:spacing w:line="360" w:lineRule="auto"/>
        <w:ind w:firstLine="480" w:firstLineChars="200"/>
        <w:rPr>
          <w:rFonts w:hint="eastAsia" w:asciiTheme="minorEastAsia" w:hAnsiTheme="minorEastAsia" w:eastAsiaTheme="minorEastAsia" w:cstheme="minorEastAsia"/>
          <w:kern w:val="2"/>
          <w:sz w:val="24"/>
        </w:rPr>
      </w:pPr>
      <w:r>
        <w:rPr>
          <w:rFonts w:hint="eastAsia" w:asciiTheme="minorEastAsia" w:hAnsiTheme="minorEastAsia" w:eastAsiaTheme="minorEastAsia" w:cstheme="minorEastAsia"/>
          <w:kern w:val="2"/>
          <w:sz w:val="24"/>
        </w:rPr>
        <w:t>截至2023年12月31日，理财产品余额为0万元，公司本报告期内使用闲置募集资金购买理财产品获得收益0万元。</w:t>
      </w:r>
    </w:p>
    <w:p>
      <w:pPr>
        <w:keepNext/>
        <w:keepLines/>
        <w:spacing w:line="360" w:lineRule="auto"/>
        <w:ind w:firstLine="482" w:firstLineChars="200"/>
        <w:outlineLvl w:val="0"/>
        <w:rPr>
          <w:rFonts w:asciiTheme="minorEastAsia" w:hAnsiTheme="minorEastAsia" w:eastAsiaTheme="minorEastAsia" w:cstheme="minorEastAsia"/>
          <w:b/>
          <w:bCs/>
          <w:kern w:val="44"/>
          <w:sz w:val="24"/>
          <w:highlight w:val="none"/>
        </w:rPr>
      </w:pPr>
      <w:r>
        <w:rPr>
          <w:rFonts w:hint="eastAsia" w:asciiTheme="minorEastAsia" w:hAnsiTheme="minorEastAsia" w:eastAsiaTheme="minorEastAsia" w:cstheme="minorEastAsia"/>
          <w:b/>
          <w:bCs/>
          <w:kern w:val="44"/>
          <w:sz w:val="24"/>
          <w:highlight w:val="none"/>
        </w:rPr>
        <w:t>四、变更募集资金投资项目的资金使用情况</w:t>
      </w:r>
    </w:p>
    <w:p>
      <w:pPr>
        <w:keepNext/>
        <w:keepLines/>
        <w:spacing w:line="360" w:lineRule="auto"/>
        <w:ind w:firstLine="482" w:firstLineChars="200"/>
        <w:outlineLvl w:val="1"/>
        <w:rPr>
          <w:rFonts w:asciiTheme="minorEastAsia" w:hAnsiTheme="minorEastAsia" w:eastAsiaTheme="minorEastAsia" w:cstheme="minorEastAsia"/>
          <w:bCs/>
          <w:sz w:val="24"/>
          <w:highlight w:val="none"/>
        </w:rPr>
      </w:pPr>
      <w:r>
        <w:rPr>
          <w:rFonts w:hint="eastAsia" w:asciiTheme="minorEastAsia" w:hAnsiTheme="minorEastAsia" w:eastAsiaTheme="minorEastAsia" w:cstheme="minorEastAsia"/>
          <w:b/>
          <w:bCs/>
          <w:sz w:val="24"/>
          <w:highlight w:val="none"/>
        </w:rPr>
        <w:t>(一)变更募集资金投资项目情况</w:t>
      </w:r>
    </w:p>
    <w:p>
      <w:pPr>
        <w:autoSpaceDE w:val="0"/>
        <w:autoSpaceDN w:val="0"/>
        <w:adjustRightInd w:val="0"/>
        <w:spacing w:line="360" w:lineRule="auto"/>
        <w:ind w:firstLine="480" w:firstLineChars="200"/>
        <w:rPr>
          <w:rFonts w:hint="eastAsia" w:asciiTheme="minorEastAsia" w:hAnsiTheme="minorEastAsia" w:eastAsiaTheme="minorEastAsia" w:cstheme="minorEastAsia"/>
          <w:kern w:val="2"/>
          <w:sz w:val="24"/>
        </w:rPr>
      </w:pPr>
      <w:r>
        <w:rPr>
          <w:rFonts w:hint="eastAsia" w:asciiTheme="minorEastAsia" w:hAnsiTheme="minorEastAsia" w:eastAsiaTheme="minorEastAsia" w:cstheme="minorEastAsia"/>
          <w:kern w:val="2"/>
          <w:sz w:val="24"/>
        </w:rPr>
        <w:t>2023年度《变更募集资金投资项目情况表》详见本报告附件2。</w:t>
      </w:r>
    </w:p>
    <w:p>
      <w:pPr>
        <w:keepNext/>
        <w:keepLines/>
        <w:spacing w:line="360" w:lineRule="auto"/>
        <w:ind w:firstLine="482" w:firstLineChars="200"/>
        <w:outlineLvl w:val="1"/>
        <w:rPr>
          <w:rFonts w:asciiTheme="minorEastAsia" w:hAnsiTheme="minorEastAsia" w:eastAsiaTheme="minorEastAsia" w:cstheme="minorEastAsia"/>
          <w:b/>
          <w:bCs/>
          <w:sz w:val="24"/>
          <w:highlight w:val="none"/>
        </w:rPr>
      </w:pPr>
      <w:r>
        <w:rPr>
          <w:rFonts w:hint="eastAsia" w:asciiTheme="minorEastAsia" w:hAnsiTheme="minorEastAsia" w:eastAsiaTheme="minorEastAsia" w:cstheme="minorEastAsia"/>
          <w:b/>
          <w:bCs/>
          <w:sz w:val="24"/>
          <w:highlight w:val="none"/>
        </w:rPr>
        <w:t>(二)变更募集资金投资项目无法单独核算效益的情况说明</w:t>
      </w:r>
    </w:p>
    <w:p>
      <w:pPr>
        <w:autoSpaceDE w:val="0"/>
        <w:autoSpaceDN w:val="0"/>
        <w:adjustRightInd w:val="0"/>
        <w:spacing w:line="360" w:lineRule="auto"/>
        <w:ind w:firstLine="480" w:firstLineChars="200"/>
        <w:rPr>
          <w:rFonts w:hint="eastAsia" w:asciiTheme="minorEastAsia" w:hAnsiTheme="minorEastAsia" w:eastAsiaTheme="minorEastAsia" w:cstheme="minorEastAsia"/>
          <w:kern w:val="2"/>
          <w:sz w:val="24"/>
        </w:rPr>
      </w:pPr>
      <w:r>
        <w:rPr>
          <w:rFonts w:hint="eastAsia" w:asciiTheme="minorEastAsia" w:hAnsiTheme="minorEastAsia" w:eastAsiaTheme="minorEastAsia" w:cstheme="minorEastAsia"/>
          <w:kern w:val="2"/>
          <w:sz w:val="24"/>
        </w:rPr>
        <w:t>抗肿瘤1类新药YS001的研发</w:t>
      </w:r>
    </w:p>
    <w:p>
      <w:pPr>
        <w:autoSpaceDE w:val="0"/>
        <w:autoSpaceDN w:val="0"/>
        <w:adjustRightInd w:val="0"/>
        <w:spacing w:line="360" w:lineRule="auto"/>
        <w:ind w:firstLine="480" w:firstLineChars="200"/>
        <w:rPr>
          <w:rFonts w:hint="eastAsia" w:asciiTheme="minorEastAsia" w:hAnsiTheme="minorEastAsia" w:eastAsiaTheme="minorEastAsia" w:cstheme="minorEastAsia"/>
          <w:kern w:val="2"/>
          <w:sz w:val="24"/>
        </w:rPr>
      </w:pPr>
      <w:r>
        <w:rPr>
          <w:rFonts w:hint="eastAsia" w:asciiTheme="minorEastAsia" w:hAnsiTheme="minorEastAsia" w:eastAsiaTheme="minorEastAsia" w:cstheme="minorEastAsia"/>
          <w:kern w:val="2"/>
          <w:sz w:val="24"/>
        </w:rPr>
        <w:t>本项目为研发项目，项目完成后不会直接产生经济效益。如果项目成功上市，将会产生经济效益。</w:t>
      </w:r>
    </w:p>
    <w:p>
      <w:pPr>
        <w:keepNext/>
        <w:keepLines/>
        <w:spacing w:line="360" w:lineRule="auto"/>
        <w:ind w:firstLine="482" w:firstLineChars="200"/>
        <w:outlineLvl w:val="1"/>
        <w:rPr>
          <w:rFonts w:asciiTheme="minorEastAsia" w:hAnsiTheme="minorEastAsia" w:eastAsiaTheme="minorEastAsia" w:cstheme="minorEastAsia"/>
          <w:b/>
          <w:bCs/>
          <w:sz w:val="24"/>
          <w:highlight w:val="none"/>
        </w:rPr>
      </w:pPr>
      <w:r>
        <w:rPr>
          <w:rFonts w:hint="eastAsia" w:asciiTheme="minorEastAsia" w:hAnsiTheme="minorEastAsia" w:eastAsiaTheme="minorEastAsia" w:cstheme="minorEastAsia"/>
          <w:b/>
          <w:bCs/>
          <w:sz w:val="24"/>
          <w:highlight w:val="none"/>
        </w:rPr>
        <w:t>(三)募集资金投资项目对外转让或置换情况说明</w:t>
      </w:r>
    </w:p>
    <w:p>
      <w:pPr>
        <w:autoSpaceDE w:val="0"/>
        <w:autoSpaceDN w:val="0"/>
        <w:adjustRightInd w:val="0"/>
        <w:spacing w:line="360" w:lineRule="auto"/>
        <w:ind w:firstLine="480" w:firstLineChars="200"/>
        <w:rPr>
          <w:rFonts w:hint="eastAsia" w:asciiTheme="minorEastAsia" w:hAnsiTheme="minorEastAsia" w:eastAsiaTheme="minorEastAsia" w:cstheme="minorEastAsia"/>
          <w:kern w:val="2"/>
          <w:sz w:val="24"/>
        </w:rPr>
      </w:pPr>
      <w:r>
        <w:rPr>
          <w:rFonts w:hint="eastAsia" w:asciiTheme="minorEastAsia" w:hAnsiTheme="minorEastAsia" w:eastAsiaTheme="minorEastAsia" w:cstheme="minorEastAsia"/>
          <w:kern w:val="2"/>
          <w:sz w:val="24"/>
        </w:rPr>
        <w:t>募集资金投资项目无对外转让或置换情况。</w:t>
      </w:r>
    </w:p>
    <w:p>
      <w:pPr>
        <w:keepNext/>
        <w:keepLines/>
        <w:spacing w:line="360" w:lineRule="auto"/>
        <w:ind w:firstLine="482" w:firstLineChars="200"/>
        <w:outlineLvl w:val="0"/>
        <w:rPr>
          <w:rFonts w:asciiTheme="minorEastAsia" w:hAnsiTheme="minorEastAsia" w:eastAsiaTheme="minorEastAsia" w:cstheme="minorEastAsia"/>
          <w:b/>
          <w:bCs/>
          <w:kern w:val="44"/>
          <w:sz w:val="24"/>
          <w:highlight w:val="none"/>
        </w:rPr>
      </w:pPr>
      <w:r>
        <w:rPr>
          <w:rFonts w:hint="eastAsia" w:asciiTheme="minorEastAsia" w:hAnsiTheme="minorEastAsia" w:eastAsiaTheme="minorEastAsia" w:cstheme="minorEastAsia"/>
          <w:b/>
          <w:bCs/>
          <w:kern w:val="44"/>
          <w:sz w:val="24"/>
          <w:highlight w:val="none"/>
        </w:rPr>
        <w:t>五、募集资金使用及披露中存在的问题</w:t>
      </w:r>
    </w:p>
    <w:p>
      <w:pPr>
        <w:autoSpaceDE w:val="0"/>
        <w:autoSpaceDN w:val="0"/>
        <w:adjustRightInd w:val="0"/>
        <w:spacing w:line="360" w:lineRule="auto"/>
        <w:ind w:firstLine="480" w:firstLineChars="200"/>
        <w:rPr>
          <w:rFonts w:hint="eastAsia" w:asciiTheme="minorEastAsia" w:hAnsiTheme="minorEastAsia" w:eastAsiaTheme="minorEastAsia" w:cstheme="minorEastAsia"/>
          <w:kern w:val="2"/>
          <w:sz w:val="24"/>
        </w:rPr>
      </w:pPr>
      <w:r>
        <w:rPr>
          <w:rFonts w:hint="eastAsia" w:asciiTheme="minorEastAsia" w:hAnsiTheme="minorEastAsia" w:eastAsiaTheme="minorEastAsia" w:cstheme="minorEastAsia"/>
          <w:kern w:val="2"/>
          <w:sz w:val="24"/>
        </w:rPr>
        <w:t>本公司已经披露的募集资金相关信息不存在不及时、真实、准确、完整披露的情况；已使用的募集资金均投向所承诺的募集资金投资项目，不存在违规使用募集资金的重大情形。</w:t>
      </w:r>
    </w:p>
    <w:p>
      <w:pPr>
        <w:autoSpaceDE w:val="0"/>
        <w:autoSpaceDN w:val="0"/>
        <w:adjustRightInd w:val="0"/>
        <w:spacing w:line="360" w:lineRule="auto"/>
        <w:ind w:firstLine="480" w:firstLineChars="200"/>
        <w:rPr>
          <w:rFonts w:hint="eastAsia" w:asciiTheme="minorEastAsia" w:hAnsiTheme="minorEastAsia" w:eastAsiaTheme="minorEastAsia" w:cstheme="minorEastAsia"/>
          <w:kern w:val="2"/>
          <w:sz w:val="24"/>
        </w:rPr>
      </w:pPr>
    </w:p>
    <w:p>
      <w:pPr>
        <w:autoSpaceDE w:val="0"/>
        <w:autoSpaceDN w:val="0"/>
        <w:adjustRightInd w:val="0"/>
        <w:spacing w:line="360" w:lineRule="auto"/>
        <w:ind w:firstLine="480" w:firstLineChars="200"/>
        <w:rPr>
          <w:rFonts w:hint="eastAsia" w:asciiTheme="minorEastAsia" w:hAnsiTheme="minorEastAsia" w:eastAsiaTheme="minorEastAsia" w:cstheme="minorEastAsia"/>
          <w:kern w:val="2"/>
          <w:sz w:val="24"/>
        </w:rPr>
      </w:pPr>
      <w:r>
        <w:rPr>
          <w:rFonts w:hint="eastAsia" w:asciiTheme="minorEastAsia" w:hAnsiTheme="minorEastAsia" w:eastAsiaTheme="minorEastAsia" w:cstheme="minorEastAsia"/>
          <w:kern w:val="2"/>
          <w:sz w:val="24"/>
        </w:rPr>
        <w:t>特此公告。</w:t>
      </w:r>
    </w:p>
    <w:p>
      <w:pPr>
        <w:spacing w:line="360" w:lineRule="auto"/>
        <w:ind w:firstLine="4320" w:firstLineChars="1800"/>
        <w:jc w:val="right"/>
        <w:rPr>
          <w:rFonts w:hint="eastAsia" w:ascii="宋体" w:hAnsi="宋体"/>
          <w:sz w:val="24"/>
          <w:highlight w:val="none"/>
        </w:rPr>
      </w:pPr>
    </w:p>
    <w:p>
      <w:pPr>
        <w:spacing w:line="360" w:lineRule="auto"/>
        <w:ind w:firstLine="4320" w:firstLineChars="1800"/>
        <w:jc w:val="right"/>
        <w:rPr>
          <w:rFonts w:ascii="宋体" w:hAnsi="宋体"/>
          <w:sz w:val="24"/>
          <w:highlight w:val="none"/>
        </w:rPr>
      </w:pPr>
      <w:r>
        <w:rPr>
          <w:rFonts w:hint="eastAsia" w:ascii="宋体" w:hAnsi="宋体"/>
          <w:sz w:val="24"/>
          <w:highlight w:val="none"/>
        </w:rPr>
        <w:t>江苏吴中医药发展股份有限公司</w:t>
      </w:r>
    </w:p>
    <w:p>
      <w:pPr>
        <w:spacing w:line="360" w:lineRule="auto"/>
        <w:ind w:right="1200" w:firstLine="4320" w:firstLineChars="1800"/>
        <w:jc w:val="right"/>
        <w:rPr>
          <w:rFonts w:ascii="宋体" w:hAnsi="宋体"/>
          <w:sz w:val="24"/>
          <w:highlight w:val="none"/>
        </w:rPr>
      </w:pPr>
      <w:r>
        <w:rPr>
          <w:rFonts w:hint="eastAsia" w:ascii="宋体" w:hAnsi="宋体"/>
          <w:sz w:val="24"/>
          <w:highlight w:val="none"/>
        </w:rPr>
        <w:t xml:space="preserve">董事会      </w:t>
      </w:r>
    </w:p>
    <w:p>
      <w:pPr>
        <w:spacing w:line="360" w:lineRule="auto"/>
        <w:ind w:right="480" w:firstLine="5220" w:firstLineChars="2175"/>
        <w:jc w:val="center"/>
        <w:rPr>
          <w:rFonts w:ascii="宋体" w:hAnsi="宋体"/>
          <w:sz w:val="24"/>
          <w:highlight w:val="none"/>
        </w:rPr>
      </w:pPr>
      <w:r>
        <w:rPr>
          <w:rFonts w:hint="eastAsia" w:ascii="宋体" w:hAnsi="宋体"/>
          <w:sz w:val="24"/>
          <w:highlight w:val="none"/>
        </w:rPr>
        <w:t xml:space="preserve">    202</w:t>
      </w:r>
      <w:r>
        <w:rPr>
          <w:rFonts w:hint="eastAsia" w:ascii="宋体" w:hAnsi="宋体"/>
          <w:sz w:val="24"/>
          <w:highlight w:val="none"/>
          <w:lang w:val="en-US" w:eastAsia="zh-CN"/>
        </w:rPr>
        <w:t>4</w:t>
      </w:r>
      <w:r>
        <w:rPr>
          <w:rFonts w:hint="eastAsia" w:ascii="宋体" w:hAnsi="宋体"/>
          <w:sz w:val="24"/>
          <w:highlight w:val="none"/>
        </w:rPr>
        <w:t>年4月2</w:t>
      </w:r>
      <w:r>
        <w:rPr>
          <w:rFonts w:hint="eastAsia" w:ascii="宋体" w:hAnsi="宋体"/>
          <w:sz w:val="24"/>
          <w:highlight w:val="none"/>
          <w:lang w:val="en-US" w:eastAsia="zh-CN"/>
        </w:rPr>
        <w:t>5</w:t>
      </w:r>
      <w:r>
        <w:rPr>
          <w:rFonts w:hint="eastAsia" w:ascii="宋体" w:hAnsi="宋体"/>
          <w:sz w:val="24"/>
          <w:highlight w:val="none"/>
        </w:rPr>
        <w:t>日</w:t>
      </w:r>
    </w:p>
    <w:p>
      <w:pPr>
        <w:spacing w:line="360" w:lineRule="auto"/>
        <w:rPr>
          <w:highlight w:val="yellow"/>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pPr>
        <w:ind w:right="420"/>
        <w:rPr>
          <w:rFonts w:ascii="宋体" w:hAnsi="宋体" w:cs="宋体"/>
          <w:kern w:val="0"/>
          <w:szCs w:val="21"/>
          <w:highlight w:val="none"/>
        </w:rPr>
      </w:pPr>
      <w:r>
        <w:rPr>
          <w:rFonts w:hint="eastAsia" w:ascii="宋体" w:hAnsi="宋体" w:cs="宋体"/>
          <w:kern w:val="0"/>
          <w:szCs w:val="21"/>
          <w:highlight w:val="none"/>
        </w:rPr>
        <w:t>附件1</w:t>
      </w:r>
    </w:p>
    <w:p>
      <w:pPr>
        <w:ind w:right="420"/>
        <w:jc w:val="center"/>
        <w:rPr>
          <w:rFonts w:ascii="黑体" w:hAnsi="宋体" w:eastAsia="黑体" w:cs="宋体"/>
          <w:b/>
          <w:bCs/>
          <w:kern w:val="0"/>
          <w:sz w:val="28"/>
          <w:szCs w:val="28"/>
          <w:highlight w:val="none"/>
        </w:rPr>
      </w:pPr>
      <w:r>
        <w:rPr>
          <w:rFonts w:hint="eastAsia" w:ascii="黑体" w:hAnsi="宋体" w:eastAsia="黑体" w:cs="宋体"/>
          <w:b/>
          <w:bCs/>
          <w:kern w:val="0"/>
          <w:sz w:val="28"/>
          <w:szCs w:val="28"/>
          <w:highlight w:val="none"/>
        </w:rPr>
        <w:t>募集资金使用情况对照表</w:t>
      </w:r>
    </w:p>
    <w:p>
      <w:pPr>
        <w:ind w:right="420"/>
        <w:jc w:val="center"/>
        <w:rPr>
          <w:rFonts w:ascii="宋体" w:hAnsi="宋体" w:cs="宋体"/>
          <w:kern w:val="0"/>
          <w:szCs w:val="21"/>
          <w:highlight w:val="none"/>
        </w:rPr>
      </w:pPr>
      <w:r>
        <w:rPr>
          <w:rFonts w:hint="eastAsia" w:ascii="宋体" w:hAnsi="宋体" w:cs="宋体"/>
          <w:kern w:val="0"/>
          <w:szCs w:val="21"/>
          <w:highlight w:val="none"/>
        </w:rPr>
        <w:t>202</w:t>
      </w:r>
      <w:r>
        <w:rPr>
          <w:rFonts w:hint="eastAsia" w:ascii="宋体" w:hAnsi="宋体" w:cs="宋体"/>
          <w:kern w:val="0"/>
          <w:szCs w:val="21"/>
          <w:highlight w:val="none"/>
          <w:lang w:val="en-US" w:eastAsia="zh-CN"/>
        </w:rPr>
        <w:t>3</w:t>
      </w:r>
      <w:r>
        <w:rPr>
          <w:rFonts w:hint="eastAsia" w:ascii="宋体" w:hAnsi="宋体" w:cs="宋体"/>
          <w:kern w:val="0"/>
          <w:szCs w:val="21"/>
          <w:highlight w:val="none"/>
        </w:rPr>
        <w:t>年</w:t>
      </w:r>
    </w:p>
    <w:p>
      <w:pPr>
        <w:ind w:left="-2" w:leftChars="-1" w:right="-982"/>
        <w:rPr>
          <w:rFonts w:ascii="宋体" w:hAnsi="宋体"/>
          <w:szCs w:val="21"/>
          <w:highlight w:val="none"/>
        </w:rPr>
      </w:pPr>
      <w:r>
        <w:rPr>
          <w:rFonts w:hint="eastAsia" w:ascii="宋体" w:hAnsi="宋体" w:cs="宋体"/>
          <w:kern w:val="0"/>
          <w:szCs w:val="21"/>
          <w:highlight w:val="none"/>
        </w:rPr>
        <w:t>编制单位：江苏吴中医药发展股份有限公司</w:t>
      </w:r>
      <w:r>
        <w:rPr>
          <w:rFonts w:hint="eastAsia" w:ascii="宋体" w:hAnsi="宋体" w:cs="宋体"/>
          <w:kern w:val="0"/>
          <w:szCs w:val="21"/>
          <w:highlight w:val="none"/>
        </w:rPr>
        <w:tab/>
      </w:r>
      <w:r>
        <w:rPr>
          <w:rFonts w:hint="eastAsia" w:ascii="宋体" w:hAnsi="宋体" w:cs="宋体"/>
          <w:kern w:val="0"/>
          <w:szCs w:val="21"/>
          <w:highlight w:val="none"/>
        </w:rPr>
        <w:tab/>
      </w:r>
      <w:r>
        <w:rPr>
          <w:rFonts w:hint="eastAsia" w:ascii="宋体" w:hAnsi="宋体" w:cs="宋体"/>
          <w:kern w:val="0"/>
          <w:szCs w:val="21"/>
          <w:highlight w:val="none"/>
        </w:rPr>
        <w:tab/>
      </w:r>
      <w:r>
        <w:rPr>
          <w:rFonts w:hint="eastAsia" w:ascii="宋体" w:hAnsi="宋体" w:cs="宋体"/>
          <w:kern w:val="0"/>
          <w:szCs w:val="21"/>
          <w:highlight w:val="none"/>
        </w:rPr>
        <w:tab/>
      </w:r>
      <w:r>
        <w:rPr>
          <w:rFonts w:hint="eastAsia" w:ascii="宋体" w:hAnsi="宋体" w:cs="宋体"/>
          <w:kern w:val="0"/>
          <w:szCs w:val="21"/>
          <w:highlight w:val="none"/>
        </w:rPr>
        <w:tab/>
      </w:r>
      <w:r>
        <w:rPr>
          <w:rFonts w:hint="eastAsia" w:ascii="宋体" w:hAnsi="宋体" w:cs="宋体"/>
          <w:kern w:val="0"/>
          <w:szCs w:val="21"/>
          <w:highlight w:val="none"/>
        </w:rPr>
        <w:tab/>
      </w:r>
      <w:r>
        <w:rPr>
          <w:rFonts w:hint="eastAsia" w:ascii="宋体" w:hAnsi="宋体" w:cs="宋体"/>
          <w:kern w:val="0"/>
          <w:szCs w:val="21"/>
          <w:highlight w:val="none"/>
        </w:rPr>
        <w:tab/>
      </w:r>
      <w:r>
        <w:rPr>
          <w:rFonts w:hint="eastAsia" w:ascii="宋体" w:hAnsi="宋体" w:cs="宋体"/>
          <w:kern w:val="0"/>
          <w:szCs w:val="21"/>
          <w:highlight w:val="none"/>
        </w:rPr>
        <w:tab/>
      </w:r>
      <w:r>
        <w:rPr>
          <w:rFonts w:hint="eastAsia" w:ascii="宋体" w:hAnsi="宋体" w:cs="宋体"/>
          <w:kern w:val="0"/>
          <w:szCs w:val="21"/>
          <w:highlight w:val="none"/>
        </w:rPr>
        <w:tab/>
      </w:r>
      <w:r>
        <w:rPr>
          <w:rFonts w:hint="eastAsia" w:ascii="宋体" w:hAnsi="宋体" w:cs="宋体"/>
          <w:kern w:val="0"/>
          <w:szCs w:val="21"/>
          <w:highlight w:val="none"/>
        </w:rPr>
        <w:tab/>
      </w:r>
      <w:r>
        <w:rPr>
          <w:rFonts w:hint="eastAsia" w:ascii="宋体" w:hAnsi="宋体" w:cs="宋体"/>
          <w:kern w:val="0"/>
          <w:szCs w:val="21"/>
          <w:highlight w:val="none"/>
        </w:rPr>
        <w:tab/>
      </w:r>
      <w:r>
        <w:rPr>
          <w:rFonts w:hint="eastAsia" w:ascii="宋体" w:hAnsi="宋体" w:cs="宋体"/>
          <w:kern w:val="0"/>
          <w:szCs w:val="21"/>
          <w:highlight w:val="none"/>
        </w:rPr>
        <w:tab/>
      </w:r>
      <w:r>
        <w:rPr>
          <w:rFonts w:hint="eastAsia" w:ascii="宋体" w:hAnsi="宋体" w:cs="宋体"/>
          <w:kern w:val="0"/>
          <w:szCs w:val="21"/>
          <w:highlight w:val="none"/>
        </w:rPr>
        <w:tab/>
      </w:r>
      <w:r>
        <w:rPr>
          <w:rFonts w:hint="eastAsia" w:ascii="宋体" w:hAnsi="宋体" w:cs="宋体"/>
          <w:kern w:val="0"/>
          <w:szCs w:val="21"/>
          <w:highlight w:val="none"/>
        </w:rPr>
        <w:tab/>
      </w:r>
      <w:r>
        <w:rPr>
          <w:rFonts w:hint="eastAsia" w:ascii="宋体" w:hAnsi="宋体" w:cs="宋体"/>
          <w:kern w:val="0"/>
          <w:szCs w:val="21"/>
          <w:highlight w:val="none"/>
        </w:rPr>
        <w:tab/>
      </w:r>
      <w:r>
        <w:rPr>
          <w:rFonts w:hint="eastAsia" w:ascii="宋体" w:hAnsi="宋体" w:cs="宋体"/>
          <w:kern w:val="0"/>
          <w:szCs w:val="21"/>
          <w:highlight w:val="none"/>
        </w:rPr>
        <w:tab/>
      </w:r>
      <w:r>
        <w:rPr>
          <w:rFonts w:hint="eastAsia" w:ascii="宋体" w:hAnsi="宋体" w:cs="宋体"/>
          <w:kern w:val="0"/>
          <w:szCs w:val="21"/>
          <w:highlight w:val="none"/>
        </w:rPr>
        <w:tab/>
      </w:r>
      <w:r>
        <w:rPr>
          <w:rFonts w:hint="eastAsia" w:ascii="宋体" w:hAnsi="宋体" w:cs="宋体"/>
          <w:kern w:val="0"/>
          <w:szCs w:val="21"/>
          <w:highlight w:val="none"/>
        </w:rPr>
        <w:tab/>
      </w:r>
      <w:r>
        <w:rPr>
          <w:rFonts w:hint="eastAsia" w:ascii="宋体" w:hAnsi="宋体" w:cs="宋体"/>
          <w:kern w:val="0"/>
          <w:szCs w:val="21"/>
          <w:highlight w:val="none"/>
        </w:rPr>
        <w:tab/>
      </w:r>
      <w:r>
        <w:rPr>
          <w:rFonts w:hint="eastAsia" w:ascii="宋体" w:hAnsi="宋体" w:cs="宋体"/>
          <w:kern w:val="0"/>
          <w:szCs w:val="21"/>
          <w:highlight w:val="none"/>
        </w:rPr>
        <w:tab/>
      </w:r>
      <w:r>
        <w:rPr>
          <w:rFonts w:hint="eastAsia" w:ascii="宋体" w:hAnsi="宋体" w:cs="宋体"/>
          <w:kern w:val="0"/>
          <w:szCs w:val="21"/>
          <w:highlight w:val="none"/>
        </w:rPr>
        <w:t>单位：人民币万元</w:t>
      </w:r>
      <w:r>
        <w:rPr>
          <w:rFonts w:hint="eastAsia" w:ascii="宋体" w:hAnsi="宋体" w:cs="宋体"/>
          <w:kern w:val="0"/>
          <w:szCs w:val="21"/>
          <w:highlight w:val="none"/>
        </w:rPr>
        <w:tab/>
      </w:r>
    </w:p>
    <w:tbl>
      <w:tblPr>
        <w:tblStyle w:val="5"/>
        <w:tblW w:w="516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42"/>
        <w:gridCol w:w="900"/>
        <w:gridCol w:w="1110"/>
        <w:gridCol w:w="1095"/>
        <w:gridCol w:w="900"/>
        <w:gridCol w:w="945"/>
        <w:gridCol w:w="1140"/>
        <w:gridCol w:w="1320"/>
        <w:gridCol w:w="894"/>
        <w:gridCol w:w="1049"/>
        <w:gridCol w:w="1057"/>
        <w:gridCol w:w="885"/>
        <w:gridCol w:w="9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93" w:type="pct"/>
            <w:gridSpan w:val="4"/>
            <w:tcBorders>
              <w:top w:val="single" w:color="000000" w:sz="4" w:space="0"/>
              <w:left w:val="nil"/>
              <w:bottom w:val="dashed" w:color="000000" w:sz="4" w:space="0"/>
              <w:right w:val="dashed" w:color="auto" w:sz="4" w:space="0"/>
            </w:tcBorders>
            <w:vAlign w:val="center"/>
          </w:tcPr>
          <w:p>
            <w:pPr>
              <w:widowControl/>
              <w:jc w:val="left"/>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kern w:val="0"/>
                <w:sz w:val="18"/>
                <w:szCs w:val="18"/>
                <w:highlight w:val="none"/>
                <w14:textFill>
                  <w14:solidFill>
                    <w14:schemeClr w14:val="tx1"/>
                  </w14:solidFill>
                </w14:textFill>
              </w:rPr>
              <w:t>募集资金总额</w:t>
            </w:r>
          </w:p>
        </w:tc>
        <w:tc>
          <w:tcPr>
            <w:tcW w:w="1019" w:type="pct"/>
            <w:gridSpan w:val="3"/>
            <w:tcBorders>
              <w:top w:val="single" w:color="000000" w:sz="4" w:space="0"/>
              <w:left w:val="dashed" w:color="auto" w:sz="4" w:space="0"/>
              <w:bottom w:val="dashed" w:color="000000" w:sz="4" w:space="0"/>
              <w:right w:val="dashed" w:color="auto" w:sz="4" w:space="0"/>
            </w:tcBorders>
            <w:vAlign w:val="center"/>
          </w:tcPr>
          <w:p>
            <w:pPr>
              <w:widowControl/>
              <w:ind w:firstLine="360" w:firstLineChars="200"/>
              <w:jc w:val="right"/>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50,237.73</w:t>
            </w:r>
          </w:p>
        </w:tc>
        <w:tc>
          <w:tcPr>
            <w:tcW w:w="755" w:type="pct"/>
            <w:gridSpan w:val="2"/>
            <w:tcBorders>
              <w:top w:val="single" w:color="000000" w:sz="4" w:space="0"/>
              <w:left w:val="dashed" w:color="auto" w:sz="4" w:space="0"/>
              <w:bottom w:val="dashed" w:color="000000" w:sz="4" w:space="0"/>
              <w:right w:val="dashed" w:color="auto" w:sz="4" w:space="0"/>
            </w:tcBorders>
            <w:vAlign w:val="center"/>
          </w:tcPr>
          <w:p>
            <w:pPr>
              <w:widowControl/>
              <w:jc w:val="center"/>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kern w:val="0"/>
                <w:sz w:val="18"/>
                <w:szCs w:val="18"/>
                <w:highlight w:val="none"/>
                <w14:textFill>
                  <w14:solidFill>
                    <w14:schemeClr w14:val="tx1"/>
                  </w14:solidFill>
                </w14:textFill>
              </w:rPr>
              <w:t>本年度投入募集资金总额</w:t>
            </w:r>
          </w:p>
        </w:tc>
        <w:tc>
          <w:tcPr>
            <w:tcW w:w="1331" w:type="pct"/>
            <w:gridSpan w:val="4"/>
            <w:tcBorders>
              <w:top w:val="single" w:color="000000" w:sz="4" w:space="0"/>
              <w:left w:val="dashed" w:color="auto" w:sz="4" w:space="0"/>
              <w:bottom w:val="dashed" w:color="000000" w:sz="4" w:space="0"/>
              <w:right w:val="nil"/>
            </w:tcBorders>
            <w:vAlign w:val="center"/>
          </w:tcPr>
          <w:p>
            <w:pPr>
              <w:widowControl/>
              <w:ind w:firstLine="360" w:firstLineChars="200"/>
              <w:jc w:val="right"/>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　 379.79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893" w:type="pct"/>
            <w:gridSpan w:val="4"/>
            <w:tcBorders>
              <w:top w:val="dashed" w:color="000000" w:sz="4" w:space="0"/>
              <w:left w:val="nil"/>
              <w:bottom w:val="dashed" w:color="000000" w:sz="4" w:space="0"/>
              <w:right w:val="dashed" w:color="auto" w:sz="4" w:space="0"/>
            </w:tcBorders>
            <w:vAlign w:val="center"/>
          </w:tcPr>
          <w:p>
            <w:pPr>
              <w:widowControl/>
              <w:jc w:val="left"/>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kern w:val="0"/>
                <w:sz w:val="18"/>
                <w:szCs w:val="18"/>
                <w:highlight w:val="none"/>
                <w14:textFill>
                  <w14:solidFill>
                    <w14:schemeClr w14:val="tx1"/>
                  </w14:solidFill>
                </w14:textFill>
              </w:rPr>
              <w:t>变更用途的募集资金总额</w:t>
            </w:r>
          </w:p>
        </w:tc>
        <w:tc>
          <w:tcPr>
            <w:tcW w:w="1019" w:type="pct"/>
            <w:gridSpan w:val="3"/>
            <w:tcBorders>
              <w:top w:val="dashed" w:color="000000" w:sz="4" w:space="0"/>
              <w:left w:val="dashed" w:color="auto" w:sz="4" w:space="0"/>
              <w:bottom w:val="dashed" w:color="000000" w:sz="4" w:space="0"/>
              <w:right w:val="dashed" w:color="auto" w:sz="4" w:space="0"/>
            </w:tcBorders>
            <w:vAlign w:val="center"/>
          </w:tcPr>
          <w:p>
            <w:pPr>
              <w:widowControl/>
              <w:ind w:firstLine="360" w:firstLineChars="200"/>
              <w:jc w:val="right"/>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14,983.82</w:t>
            </w:r>
          </w:p>
        </w:tc>
        <w:tc>
          <w:tcPr>
            <w:tcW w:w="755" w:type="pct"/>
            <w:gridSpan w:val="2"/>
            <w:vMerge w:val="restart"/>
            <w:tcBorders>
              <w:top w:val="dashed" w:color="000000" w:sz="4" w:space="0"/>
              <w:left w:val="dashed" w:color="auto" w:sz="4" w:space="0"/>
              <w:bottom w:val="dashed" w:color="000000" w:sz="4" w:space="0"/>
              <w:right w:val="dashed" w:color="auto" w:sz="4" w:space="0"/>
            </w:tcBorders>
            <w:vAlign w:val="center"/>
          </w:tcPr>
          <w:p>
            <w:pPr>
              <w:widowControl/>
              <w:jc w:val="center"/>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kern w:val="0"/>
                <w:sz w:val="18"/>
                <w:szCs w:val="18"/>
                <w:highlight w:val="none"/>
                <w14:textFill>
                  <w14:solidFill>
                    <w14:schemeClr w14:val="tx1"/>
                  </w14:solidFill>
                </w14:textFill>
              </w:rPr>
              <w:t>已累计投入募集资金总额</w:t>
            </w:r>
          </w:p>
        </w:tc>
        <w:tc>
          <w:tcPr>
            <w:tcW w:w="1331" w:type="pct"/>
            <w:gridSpan w:val="4"/>
            <w:vMerge w:val="restart"/>
            <w:tcBorders>
              <w:top w:val="dashed" w:color="000000" w:sz="4" w:space="0"/>
              <w:left w:val="dashed" w:color="auto" w:sz="4" w:space="0"/>
              <w:bottom w:val="dashed" w:color="000000" w:sz="4" w:space="0"/>
              <w:right w:val="nil"/>
            </w:tcBorders>
            <w:vAlign w:val="center"/>
          </w:tcPr>
          <w:p>
            <w:pPr>
              <w:widowControl/>
              <w:ind w:firstLine="360" w:firstLineChars="200"/>
              <w:jc w:val="right"/>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49,337.35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893" w:type="pct"/>
            <w:gridSpan w:val="4"/>
            <w:tcBorders>
              <w:top w:val="dashed" w:color="000000" w:sz="4" w:space="0"/>
              <w:left w:val="nil"/>
              <w:bottom w:val="dashed" w:color="000000" w:sz="4" w:space="0"/>
              <w:right w:val="dashed" w:color="auto" w:sz="4" w:space="0"/>
            </w:tcBorders>
            <w:vAlign w:val="center"/>
          </w:tcPr>
          <w:p>
            <w:pPr>
              <w:widowControl/>
              <w:jc w:val="left"/>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kern w:val="0"/>
                <w:sz w:val="18"/>
                <w:szCs w:val="18"/>
                <w:highlight w:val="none"/>
                <w14:textFill>
                  <w14:solidFill>
                    <w14:schemeClr w14:val="tx1"/>
                  </w14:solidFill>
                </w14:textFill>
              </w:rPr>
              <w:t>变更用途的募集资金总额比例</w:t>
            </w:r>
          </w:p>
        </w:tc>
        <w:tc>
          <w:tcPr>
            <w:tcW w:w="1019" w:type="pct"/>
            <w:gridSpan w:val="3"/>
            <w:tcBorders>
              <w:top w:val="dashed" w:color="000000" w:sz="4" w:space="0"/>
              <w:left w:val="dashed" w:color="auto" w:sz="4" w:space="0"/>
              <w:bottom w:val="dashed" w:color="000000" w:sz="4" w:space="0"/>
              <w:right w:val="dashed" w:color="auto" w:sz="4" w:space="0"/>
            </w:tcBorders>
            <w:vAlign w:val="center"/>
          </w:tcPr>
          <w:p>
            <w:pPr>
              <w:widowControl/>
              <w:ind w:firstLine="360" w:firstLineChars="200"/>
              <w:jc w:val="right"/>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29.83%</w:t>
            </w:r>
          </w:p>
        </w:tc>
        <w:tc>
          <w:tcPr>
            <w:tcW w:w="755" w:type="pct"/>
            <w:gridSpan w:val="2"/>
            <w:vMerge w:val="continue"/>
            <w:tcBorders>
              <w:top w:val="dashed" w:color="000000" w:sz="4" w:space="0"/>
              <w:left w:val="dashed" w:color="auto" w:sz="4" w:space="0"/>
              <w:bottom w:val="dashed" w:color="000000" w:sz="4" w:space="0"/>
              <w:right w:val="dashed" w:color="auto" w:sz="4" w:space="0"/>
            </w:tcBorders>
            <w:vAlign w:val="center"/>
          </w:tcPr>
          <w:p>
            <w:pPr>
              <w:widowControl/>
              <w:ind w:firstLine="360" w:firstLineChars="200"/>
              <w:jc w:val="left"/>
              <w:rPr>
                <w:rFonts w:hint="eastAsia" w:ascii="宋体" w:hAnsi="宋体" w:eastAsia="宋体" w:cs="宋体"/>
                <w:color w:val="000000" w:themeColor="text1"/>
                <w:kern w:val="0"/>
                <w:sz w:val="18"/>
                <w:szCs w:val="18"/>
                <w:highlight w:val="none"/>
                <w14:textFill>
                  <w14:solidFill>
                    <w14:schemeClr w14:val="tx1"/>
                  </w14:solidFill>
                </w14:textFill>
              </w:rPr>
            </w:pPr>
          </w:p>
        </w:tc>
        <w:tc>
          <w:tcPr>
            <w:tcW w:w="1331" w:type="pct"/>
            <w:gridSpan w:val="4"/>
            <w:vMerge w:val="continue"/>
            <w:tcBorders>
              <w:top w:val="dashed" w:color="000000" w:sz="4" w:space="0"/>
              <w:left w:val="dashed" w:color="auto" w:sz="4" w:space="0"/>
              <w:bottom w:val="dashed" w:color="000000" w:sz="4" w:space="0"/>
              <w:right w:val="nil"/>
            </w:tcBorders>
            <w:vAlign w:val="center"/>
          </w:tcPr>
          <w:p>
            <w:pPr>
              <w:widowControl/>
              <w:ind w:firstLine="360" w:firstLineChars="200"/>
              <w:jc w:val="left"/>
              <w:rPr>
                <w:rFonts w:hint="eastAsia" w:ascii="宋体" w:hAnsi="宋体" w:eastAsia="宋体" w:cs="宋体"/>
                <w:color w:val="000000" w:themeColor="text1"/>
                <w:kern w:val="0"/>
                <w:sz w:val="18"/>
                <w:szCs w:val="1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15" w:hRule="atLeast"/>
          <w:jc w:val="center"/>
        </w:trPr>
        <w:tc>
          <w:tcPr>
            <w:tcW w:w="833" w:type="pct"/>
            <w:tcBorders>
              <w:top w:val="dashed" w:color="000000" w:sz="4" w:space="0"/>
              <w:left w:val="nil"/>
              <w:bottom w:val="dashed" w:color="000000" w:sz="4" w:space="0"/>
              <w:right w:val="dashed" w:color="auto" w:sz="4" w:space="0"/>
            </w:tcBorders>
          </w:tcPr>
          <w:p>
            <w:pPr>
              <w:widowControl/>
              <w:jc w:val="center"/>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kern w:val="0"/>
                <w:sz w:val="18"/>
                <w:szCs w:val="18"/>
                <w:highlight w:val="none"/>
                <w14:textFill>
                  <w14:solidFill>
                    <w14:schemeClr w14:val="tx1"/>
                  </w14:solidFill>
                </w14:textFill>
              </w:rPr>
              <w:t>承诺投资项目</w:t>
            </w:r>
          </w:p>
        </w:tc>
        <w:tc>
          <w:tcPr>
            <w:tcW w:w="307" w:type="pct"/>
            <w:tcBorders>
              <w:top w:val="dashed" w:color="000000" w:sz="4" w:space="0"/>
              <w:left w:val="dashed" w:color="auto" w:sz="4" w:space="0"/>
              <w:bottom w:val="dashed" w:color="000000" w:sz="4" w:space="0"/>
              <w:right w:val="dashed" w:color="auto" w:sz="4" w:space="0"/>
            </w:tcBorders>
          </w:tcPr>
          <w:p>
            <w:pPr>
              <w:widowControl/>
              <w:jc w:val="center"/>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kern w:val="0"/>
                <w:sz w:val="18"/>
                <w:szCs w:val="18"/>
                <w:highlight w:val="none"/>
                <w14:textFill>
                  <w14:solidFill>
                    <w14:schemeClr w14:val="tx1"/>
                  </w14:solidFill>
                </w14:textFill>
              </w:rPr>
              <w:t>已变更项目，含部分变更（如有）</w:t>
            </w:r>
          </w:p>
        </w:tc>
        <w:tc>
          <w:tcPr>
            <w:tcW w:w="378" w:type="pct"/>
            <w:tcBorders>
              <w:top w:val="dashed" w:color="000000" w:sz="4" w:space="0"/>
              <w:left w:val="dashed" w:color="auto" w:sz="4" w:space="0"/>
              <w:bottom w:val="dashed" w:color="000000" w:sz="4" w:space="0"/>
              <w:right w:val="dashed" w:color="auto" w:sz="4" w:space="0"/>
            </w:tcBorders>
          </w:tcPr>
          <w:p>
            <w:pPr>
              <w:widowControl/>
              <w:jc w:val="center"/>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kern w:val="0"/>
                <w:sz w:val="18"/>
                <w:szCs w:val="18"/>
                <w:highlight w:val="none"/>
                <w14:textFill>
                  <w14:solidFill>
                    <w14:schemeClr w14:val="tx1"/>
                  </w14:solidFill>
                </w14:textFill>
              </w:rPr>
              <w:t>募集资金承诺投资总额</w:t>
            </w:r>
          </w:p>
        </w:tc>
        <w:tc>
          <w:tcPr>
            <w:tcW w:w="373" w:type="pct"/>
            <w:tcBorders>
              <w:top w:val="dashed" w:color="000000" w:sz="4" w:space="0"/>
              <w:left w:val="dashed" w:color="auto" w:sz="4" w:space="0"/>
              <w:bottom w:val="dashed" w:color="000000" w:sz="4" w:space="0"/>
              <w:right w:val="dashed" w:color="auto" w:sz="4" w:space="0"/>
            </w:tcBorders>
          </w:tcPr>
          <w:p>
            <w:pPr>
              <w:widowControl/>
              <w:jc w:val="center"/>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kern w:val="0"/>
                <w:sz w:val="18"/>
                <w:szCs w:val="18"/>
                <w:highlight w:val="none"/>
                <w14:textFill>
                  <w14:solidFill>
                    <w14:schemeClr w14:val="tx1"/>
                  </w14:solidFill>
                </w14:textFill>
              </w:rPr>
              <w:t>调整后投资总额</w:t>
            </w:r>
          </w:p>
        </w:tc>
        <w:tc>
          <w:tcPr>
            <w:tcW w:w="307" w:type="pct"/>
            <w:tcBorders>
              <w:top w:val="dashed" w:color="000000" w:sz="4" w:space="0"/>
              <w:left w:val="dashed" w:color="auto" w:sz="4" w:space="0"/>
              <w:bottom w:val="dashed" w:color="000000" w:sz="4" w:space="0"/>
              <w:right w:val="dashed" w:color="auto" w:sz="4" w:space="0"/>
            </w:tcBorders>
          </w:tcPr>
          <w:p>
            <w:pPr>
              <w:widowControl/>
              <w:jc w:val="center"/>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kern w:val="0"/>
                <w:sz w:val="18"/>
                <w:szCs w:val="18"/>
                <w:highlight w:val="none"/>
                <w14:textFill>
                  <w14:solidFill>
                    <w14:schemeClr w14:val="tx1"/>
                  </w14:solidFill>
                </w14:textFill>
              </w:rPr>
              <w:t>截至期末承诺投入金额[</w:t>
            </w:r>
            <w:r>
              <w:rPr>
                <w:rFonts w:hint="eastAsia" w:ascii="宋体" w:hAnsi="宋体" w:eastAsia="宋体" w:cs="宋体"/>
                <w:color w:val="000000" w:themeColor="text1"/>
                <w:sz w:val="18"/>
                <w:szCs w:val="18"/>
                <w:highlight w:val="none"/>
                <w14:textFill>
                  <w14:solidFill>
                    <w14:schemeClr w14:val="tx1"/>
                  </w14:solidFill>
                </w14:textFill>
              </w:rPr>
              <w:t>1</w:t>
            </w:r>
            <w:r>
              <w:rPr>
                <w:rFonts w:hint="eastAsia" w:ascii="宋体" w:hAnsi="宋体" w:eastAsia="宋体" w:cs="宋体"/>
                <w:color w:val="000000" w:themeColor="text1"/>
                <w:kern w:val="0"/>
                <w:sz w:val="18"/>
                <w:szCs w:val="18"/>
                <w:highlight w:val="none"/>
                <w14:textFill>
                  <w14:solidFill>
                    <w14:schemeClr w14:val="tx1"/>
                  </w14:solidFill>
                </w14:textFill>
              </w:rPr>
              <w:t>]</w:t>
            </w:r>
          </w:p>
        </w:tc>
        <w:tc>
          <w:tcPr>
            <w:tcW w:w="322" w:type="pct"/>
            <w:tcBorders>
              <w:top w:val="dashed" w:color="000000" w:sz="4" w:space="0"/>
              <w:left w:val="dashed" w:color="auto" w:sz="4" w:space="0"/>
              <w:bottom w:val="dashed" w:color="000000" w:sz="4" w:space="0"/>
              <w:right w:val="dashed" w:color="auto" w:sz="4" w:space="0"/>
            </w:tcBorders>
          </w:tcPr>
          <w:p>
            <w:pPr>
              <w:widowControl/>
              <w:jc w:val="center"/>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kern w:val="0"/>
                <w:sz w:val="18"/>
                <w:szCs w:val="18"/>
                <w:highlight w:val="none"/>
                <w14:textFill>
                  <w14:solidFill>
                    <w14:schemeClr w14:val="tx1"/>
                  </w14:solidFill>
                </w14:textFill>
              </w:rPr>
              <w:t>本年度投入金额</w:t>
            </w:r>
          </w:p>
        </w:tc>
        <w:tc>
          <w:tcPr>
            <w:tcW w:w="389" w:type="pct"/>
            <w:tcBorders>
              <w:top w:val="dashed" w:color="000000" w:sz="4" w:space="0"/>
              <w:left w:val="dashed" w:color="auto" w:sz="4" w:space="0"/>
              <w:bottom w:val="dashed" w:color="000000" w:sz="4" w:space="0"/>
              <w:right w:val="dashed" w:color="auto" w:sz="4" w:space="0"/>
            </w:tcBorders>
          </w:tcPr>
          <w:p>
            <w:pPr>
              <w:widowControl/>
              <w:jc w:val="center"/>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kern w:val="0"/>
                <w:sz w:val="18"/>
                <w:szCs w:val="18"/>
                <w:highlight w:val="none"/>
                <w14:textFill>
                  <w14:solidFill>
                    <w14:schemeClr w14:val="tx1"/>
                  </w14:solidFill>
                </w14:textFill>
              </w:rPr>
              <w:t>截至期末累计投入金额[</w:t>
            </w:r>
            <w:r>
              <w:rPr>
                <w:rFonts w:hint="eastAsia" w:ascii="宋体" w:hAnsi="宋体" w:eastAsia="宋体" w:cs="宋体"/>
                <w:color w:val="000000" w:themeColor="text1"/>
                <w:sz w:val="18"/>
                <w:szCs w:val="18"/>
                <w:highlight w:val="none"/>
                <w14:textFill>
                  <w14:solidFill>
                    <w14:schemeClr w14:val="tx1"/>
                  </w14:solidFill>
                </w14:textFill>
              </w:rPr>
              <w:t>2</w:t>
            </w:r>
            <w:r>
              <w:rPr>
                <w:rFonts w:hint="eastAsia" w:ascii="宋体" w:hAnsi="宋体" w:eastAsia="宋体" w:cs="宋体"/>
                <w:color w:val="000000" w:themeColor="text1"/>
                <w:kern w:val="0"/>
                <w:sz w:val="18"/>
                <w:szCs w:val="18"/>
                <w:highlight w:val="none"/>
                <w14:textFill>
                  <w14:solidFill>
                    <w14:schemeClr w14:val="tx1"/>
                  </w14:solidFill>
                </w14:textFill>
              </w:rPr>
              <w:t>]</w:t>
            </w:r>
          </w:p>
        </w:tc>
        <w:tc>
          <w:tcPr>
            <w:tcW w:w="450" w:type="pct"/>
            <w:tcBorders>
              <w:top w:val="dashed" w:color="000000" w:sz="4" w:space="0"/>
              <w:left w:val="dashed" w:color="auto" w:sz="4" w:space="0"/>
              <w:bottom w:val="dashed" w:color="000000" w:sz="4" w:space="0"/>
              <w:right w:val="dashed" w:color="auto" w:sz="4" w:space="0"/>
            </w:tcBorders>
          </w:tcPr>
          <w:p>
            <w:pPr>
              <w:widowControl/>
              <w:jc w:val="center"/>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kern w:val="0"/>
                <w:sz w:val="18"/>
                <w:szCs w:val="18"/>
                <w:highlight w:val="none"/>
                <w14:textFill>
                  <w14:solidFill>
                    <w14:schemeClr w14:val="tx1"/>
                  </w14:solidFill>
                </w14:textFill>
              </w:rPr>
              <w:t>截至期末累计投入金额与承诺投入金额的差额[</w:t>
            </w:r>
            <w:r>
              <w:rPr>
                <w:rFonts w:hint="eastAsia" w:ascii="宋体" w:hAnsi="宋体" w:eastAsia="宋体" w:cs="宋体"/>
                <w:color w:val="000000" w:themeColor="text1"/>
                <w:sz w:val="18"/>
                <w:szCs w:val="18"/>
                <w:highlight w:val="none"/>
                <w14:textFill>
                  <w14:solidFill>
                    <w14:schemeClr w14:val="tx1"/>
                  </w14:solidFill>
                </w14:textFill>
              </w:rPr>
              <w:t>3</w:t>
            </w:r>
            <w:r>
              <w:rPr>
                <w:rFonts w:hint="eastAsia" w:ascii="宋体" w:hAnsi="宋体" w:eastAsia="宋体" w:cs="宋体"/>
                <w:color w:val="000000" w:themeColor="text1"/>
                <w:kern w:val="0"/>
                <w:sz w:val="18"/>
                <w:szCs w:val="18"/>
                <w:highlight w:val="none"/>
                <w14:textFill>
                  <w14:solidFill>
                    <w14:schemeClr w14:val="tx1"/>
                  </w14:solidFill>
                </w14:textFill>
              </w:rPr>
              <w:t>]＝[</w:t>
            </w:r>
            <w:r>
              <w:rPr>
                <w:rFonts w:hint="eastAsia" w:ascii="宋体" w:hAnsi="宋体" w:eastAsia="宋体" w:cs="宋体"/>
                <w:color w:val="000000" w:themeColor="text1"/>
                <w:sz w:val="18"/>
                <w:szCs w:val="18"/>
                <w:highlight w:val="none"/>
                <w14:textFill>
                  <w14:solidFill>
                    <w14:schemeClr w14:val="tx1"/>
                  </w14:solidFill>
                </w14:textFill>
              </w:rPr>
              <w:t>2</w:t>
            </w:r>
            <w:r>
              <w:rPr>
                <w:rFonts w:hint="eastAsia" w:ascii="宋体" w:hAnsi="宋体" w:eastAsia="宋体" w:cs="宋体"/>
                <w:color w:val="000000" w:themeColor="text1"/>
                <w:kern w:val="0"/>
                <w:sz w:val="18"/>
                <w:szCs w:val="18"/>
                <w:highlight w:val="none"/>
                <w14:textFill>
                  <w14:solidFill>
                    <w14:schemeClr w14:val="tx1"/>
                  </w14:solidFill>
                </w14:textFill>
              </w:rPr>
              <w:t>][</w:t>
            </w:r>
            <w:r>
              <w:rPr>
                <w:rFonts w:hint="eastAsia" w:ascii="宋体" w:hAnsi="宋体" w:eastAsia="宋体" w:cs="宋体"/>
                <w:color w:val="000000" w:themeColor="text1"/>
                <w:sz w:val="18"/>
                <w:szCs w:val="18"/>
                <w:highlight w:val="none"/>
                <w14:textFill>
                  <w14:solidFill>
                    <w14:schemeClr w14:val="tx1"/>
                  </w14:solidFill>
                </w14:textFill>
              </w:rPr>
              <w:t>1</w:t>
            </w:r>
            <w:r>
              <w:rPr>
                <w:rFonts w:hint="eastAsia" w:ascii="宋体" w:hAnsi="宋体" w:eastAsia="宋体" w:cs="宋体"/>
                <w:color w:val="000000" w:themeColor="text1"/>
                <w:kern w:val="0"/>
                <w:sz w:val="18"/>
                <w:szCs w:val="18"/>
                <w:highlight w:val="none"/>
                <w14:textFill>
                  <w14:solidFill>
                    <w14:schemeClr w14:val="tx1"/>
                  </w14:solidFill>
                </w14:textFill>
              </w:rPr>
              <w:t>]</w:t>
            </w:r>
          </w:p>
        </w:tc>
        <w:tc>
          <w:tcPr>
            <w:tcW w:w="305" w:type="pct"/>
            <w:tcBorders>
              <w:top w:val="dashed" w:color="000000" w:sz="4" w:space="0"/>
              <w:left w:val="dashed" w:color="auto" w:sz="4" w:space="0"/>
              <w:bottom w:val="dashed" w:color="000000" w:sz="4" w:space="0"/>
              <w:right w:val="dashed" w:color="auto" w:sz="4" w:space="0"/>
            </w:tcBorders>
          </w:tcPr>
          <w:p>
            <w:pPr>
              <w:widowControl/>
              <w:jc w:val="center"/>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kern w:val="0"/>
                <w:sz w:val="18"/>
                <w:szCs w:val="18"/>
                <w:highlight w:val="none"/>
                <w14:textFill>
                  <w14:solidFill>
                    <w14:schemeClr w14:val="tx1"/>
                  </w14:solidFill>
                </w14:textFill>
              </w:rPr>
              <w:t>截至期末投入进度（%）[</w:t>
            </w:r>
            <w:r>
              <w:rPr>
                <w:rFonts w:hint="eastAsia" w:ascii="宋体" w:hAnsi="宋体" w:eastAsia="宋体" w:cs="宋体"/>
                <w:color w:val="000000" w:themeColor="text1"/>
                <w:sz w:val="18"/>
                <w:szCs w:val="18"/>
                <w:highlight w:val="none"/>
                <w14:textFill>
                  <w14:solidFill>
                    <w14:schemeClr w14:val="tx1"/>
                  </w14:solidFill>
                </w14:textFill>
              </w:rPr>
              <w:t>4</w:t>
            </w:r>
            <w:r>
              <w:rPr>
                <w:rFonts w:hint="eastAsia" w:ascii="宋体" w:hAnsi="宋体" w:eastAsia="宋体" w:cs="宋体"/>
                <w:color w:val="000000" w:themeColor="text1"/>
                <w:kern w:val="0"/>
                <w:sz w:val="18"/>
                <w:szCs w:val="18"/>
                <w:highlight w:val="none"/>
                <w14:textFill>
                  <w14:solidFill>
                    <w14:schemeClr w14:val="tx1"/>
                  </w14:solidFill>
                </w14:textFill>
              </w:rPr>
              <w:t>]＝[</w:t>
            </w:r>
            <w:r>
              <w:rPr>
                <w:rFonts w:hint="eastAsia" w:ascii="宋体" w:hAnsi="宋体" w:eastAsia="宋体" w:cs="宋体"/>
                <w:color w:val="000000" w:themeColor="text1"/>
                <w:sz w:val="18"/>
                <w:szCs w:val="18"/>
                <w:highlight w:val="none"/>
                <w14:textFill>
                  <w14:solidFill>
                    <w14:schemeClr w14:val="tx1"/>
                  </w14:solidFill>
                </w14:textFill>
              </w:rPr>
              <w:t>2</w:t>
            </w:r>
            <w:r>
              <w:rPr>
                <w:rFonts w:hint="eastAsia" w:ascii="宋体" w:hAnsi="宋体" w:eastAsia="宋体" w:cs="宋体"/>
                <w:color w:val="000000" w:themeColor="text1"/>
                <w:kern w:val="0"/>
                <w:sz w:val="18"/>
                <w:szCs w:val="18"/>
                <w:highlight w:val="none"/>
                <w14:textFill>
                  <w14:solidFill>
                    <w14:schemeClr w14:val="tx1"/>
                  </w14:solidFill>
                </w14:textFill>
              </w:rPr>
              <w:t>]/[</w:t>
            </w:r>
            <w:r>
              <w:rPr>
                <w:rFonts w:hint="eastAsia" w:ascii="宋体" w:hAnsi="宋体" w:eastAsia="宋体" w:cs="宋体"/>
                <w:color w:val="000000" w:themeColor="text1"/>
                <w:sz w:val="18"/>
                <w:szCs w:val="18"/>
                <w:highlight w:val="none"/>
                <w14:textFill>
                  <w14:solidFill>
                    <w14:schemeClr w14:val="tx1"/>
                  </w14:solidFill>
                </w14:textFill>
              </w:rPr>
              <w:t>1</w:t>
            </w:r>
            <w:r>
              <w:rPr>
                <w:rFonts w:hint="eastAsia" w:ascii="宋体" w:hAnsi="宋体" w:eastAsia="宋体" w:cs="宋体"/>
                <w:color w:val="000000" w:themeColor="text1"/>
                <w:kern w:val="0"/>
                <w:sz w:val="18"/>
                <w:szCs w:val="18"/>
                <w:highlight w:val="none"/>
                <w14:textFill>
                  <w14:solidFill>
                    <w14:schemeClr w14:val="tx1"/>
                  </w14:solidFill>
                </w14:textFill>
              </w:rPr>
              <w:t>]</w:t>
            </w:r>
          </w:p>
        </w:tc>
        <w:tc>
          <w:tcPr>
            <w:tcW w:w="358" w:type="pct"/>
            <w:tcBorders>
              <w:top w:val="dashed" w:color="000000" w:sz="4" w:space="0"/>
              <w:left w:val="dashed" w:color="auto" w:sz="4" w:space="0"/>
              <w:bottom w:val="dashed" w:color="000000" w:sz="4" w:space="0"/>
              <w:right w:val="dashed" w:color="auto" w:sz="4" w:space="0"/>
            </w:tcBorders>
          </w:tcPr>
          <w:p>
            <w:pPr>
              <w:widowControl/>
              <w:jc w:val="center"/>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kern w:val="0"/>
                <w:sz w:val="18"/>
                <w:szCs w:val="18"/>
                <w:highlight w:val="none"/>
                <w14:textFill>
                  <w14:solidFill>
                    <w14:schemeClr w14:val="tx1"/>
                  </w14:solidFill>
                </w14:textFill>
              </w:rPr>
              <w:t>项目达到预定可使用状态日期</w:t>
            </w:r>
          </w:p>
        </w:tc>
        <w:tc>
          <w:tcPr>
            <w:tcW w:w="360" w:type="pct"/>
            <w:tcBorders>
              <w:top w:val="dashed" w:color="000000" w:sz="4" w:space="0"/>
              <w:left w:val="dashed" w:color="auto" w:sz="4" w:space="0"/>
              <w:bottom w:val="dashed" w:color="000000" w:sz="4" w:space="0"/>
              <w:right w:val="dashed" w:color="auto" w:sz="4" w:space="0"/>
            </w:tcBorders>
          </w:tcPr>
          <w:p>
            <w:pPr>
              <w:widowControl/>
              <w:jc w:val="center"/>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kern w:val="0"/>
                <w:sz w:val="18"/>
                <w:szCs w:val="18"/>
                <w:highlight w:val="none"/>
                <w14:textFill>
                  <w14:solidFill>
                    <w14:schemeClr w14:val="tx1"/>
                  </w14:solidFill>
                </w14:textFill>
              </w:rPr>
              <w:t>本年度实现的效益</w:t>
            </w:r>
          </w:p>
        </w:tc>
        <w:tc>
          <w:tcPr>
            <w:tcW w:w="302" w:type="pct"/>
            <w:tcBorders>
              <w:top w:val="dashed" w:color="000000" w:sz="4" w:space="0"/>
              <w:left w:val="dashed" w:color="auto" w:sz="4" w:space="0"/>
              <w:bottom w:val="dashed" w:color="000000" w:sz="4" w:space="0"/>
              <w:right w:val="dashed" w:color="auto" w:sz="4" w:space="0"/>
            </w:tcBorders>
          </w:tcPr>
          <w:p>
            <w:pPr>
              <w:widowControl/>
              <w:jc w:val="center"/>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kern w:val="0"/>
                <w:sz w:val="18"/>
                <w:szCs w:val="18"/>
                <w:highlight w:val="none"/>
                <w14:textFill>
                  <w14:solidFill>
                    <w14:schemeClr w14:val="tx1"/>
                  </w14:solidFill>
                </w14:textFill>
              </w:rPr>
              <w:t>是否达到预计效益</w:t>
            </w:r>
          </w:p>
        </w:tc>
        <w:tc>
          <w:tcPr>
            <w:tcW w:w="310" w:type="pct"/>
            <w:tcBorders>
              <w:top w:val="dashed" w:color="000000" w:sz="4" w:space="0"/>
              <w:left w:val="dashed" w:color="auto" w:sz="4" w:space="0"/>
              <w:bottom w:val="dashed" w:color="000000" w:sz="4" w:space="0"/>
              <w:right w:val="nil"/>
            </w:tcBorders>
          </w:tcPr>
          <w:p>
            <w:pPr>
              <w:widowControl/>
              <w:jc w:val="center"/>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kern w:val="0"/>
                <w:sz w:val="18"/>
                <w:szCs w:val="18"/>
                <w:highlight w:val="none"/>
                <w14:textFill>
                  <w14:solidFill>
                    <w14:schemeClr w14:val="tx1"/>
                  </w14:solidFill>
                </w14:textFill>
              </w:rPr>
              <w:t>项目可行性是否发生重大变化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33" w:type="pct"/>
            <w:tcBorders>
              <w:top w:val="dashed" w:color="000000" w:sz="4" w:space="0"/>
              <w:left w:val="nil"/>
              <w:bottom w:val="dashed" w:color="000000" w:sz="4" w:space="0"/>
              <w:right w:val="dashed" w:color="auto" w:sz="4" w:space="0"/>
            </w:tcBorders>
            <w:vAlign w:val="center"/>
          </w:tcPr>
          <w:p>
            <w:pPr>
              <w:widowControl/>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国家一类生物抗癌新药重组人血管内皮抑素注射液研发项目</w:t>
            </w:r>
          </w:p>
        </w:tc>
        <w:tc>
          <w:tcPr>
            <w:tcW w:w="307" w:type="pct"/>
            <w:tcBorders>
              <w:top w:val="dashed" w:color="000000" w:sz="4" w:space="0"/>
              <w:left w:val="dashed" w:color="auto" w:sz="4" w:space="0"/>
              <w:bottom w:val="dashed" w:color="000000" w:sz="4" w:space="0"/>
              <w:right w:val="dashed" w:color="auto" w:sz="4" w:space="0"/>
            </w:tcBorders>
            <w:vAlign w:val="center"/>
          </w:tcPr>
          <w:p>
            <w:pPr>
              <w:widowControl/>
              <w:jc w:val="center"/>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是</w:t>
            </w:r>
          </w:p>
        </w:tc>
        <w:tc>
          <w:tcPr>
            <w:tcW w:w="378" w:type="pct"/>
            <w:tcBorders>
              <w:top w:val="dashed" w:color="000000" w:sz="4" w:space="0"/>
              <w:left w:val="dashed" w:color="auto" w:sz="4" w:space="0"/>
              <w:bottom w:val="dashed" w:color="000000" w:sz="4" w:space="0"/>
              <w:right w:val="dashed" w:color="auto" w:sz="4" w:space="0"/>
            </w:tcBorders>
            <w:vAlign w:val="center"/>
          </w:tcPr>
          <w:p>
            <w:pPr>
              <w:widowControl/>
              <w:jc w:val="right"/>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15,610.00</w:t>
            </w:r>
          </w:p>
        </w:tc>
        <w:tc>
          <w:tcPr>
            <w:tcW w:w="373" w:type="pct"/>
            <w:tcBorders>
              <w:top w:val="dashed" w:color="000000" w:sz="4" w:space="0"/>
              <w:left w:val="dashed" w:color="auto" w:sz="4" w:space="0"/>
              <w:bottom w:val="dashed" w:color="000000" w:sz="4" w:space="0"/>
              <w:right w:val="dashed" w:color="auto" w:sz="4" w:space="0"/>
            </w:tcBorders>
            <w:vAlign w:val="center"/>
          </w:tcPr>
          <w:p>
            <w:pPr>
              <w:widowControl/>
              <w:jc w:val="right"/>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3,493.63</w:t>
            </w:r>
          </w:p>
        </w:tc>
        <w:tc>
          <w:tcPr>
            <w:tcW w:w="307" w:type="pct"/>
            <w:tcBorders>
              <w:top w:val="dashed" w:color="000000" w:sz="4" w:space="0"/>
              <w:left w:val="dashed" w:color="auto" w:sz="4" w:space="0"/>
              <w:bottom w:val="dashed" w:color="000000" w:sz="4" w:space="0"/>
              <w:right w:val="dashed" w:color="auto" w:sz="4" w:space="0"/>
            </w:tcBorders>
            <w:vAlign w:val="center"/>
          </w:tcPr>
          <w:p>
            <w:pPr>
              <w:widowControl/>
              <w:jc w:val="center"/>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不适用</w:t>
            </w:r>
          </w:p>
        </w:tc>
        <w:tc>
          <w:tcPr>
            <w:tcW w:w="322" w:type="pct"/>
            <w:tcBorders>
              <w:top w:val="dashed" w:color="000000" w:sz="4" w:space="0"/>
              <w:left w:val="dashed" w:color="auto" w:sz="4" w:space="0"/>
              <w:bottom w:val="dashed" w:color="000000" w:sz="4" w:space="0"/>
              <w:right w:val="dashed" w:color="auto" w:sz="4" w:space="0"/>
            </w:tcBorders>
            <w:vAlign w:val="center"/>
          </w:tcPr>
          <w:p>
            <w:pPr>
              <w:widowControl/>
              <w:jc w:val="center"/>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不适用</w:t>
            </w:r>
          </w:p>
        </w:tc>
        <w:tc>
          <w:tcPr>
            <w:tcW w:w="389" w:type="pct"/>
            <w:tcBorders>
              <w:top w:val="dashed" w:color="000000" w:sz="4" w:space="0"/>
              <w:left w:val="dashed" w:color="auto" w:sz="4" w:space="0"/>
              <w:bottom w:val="dashed" w:color="000000" w:sz="4" w:space="0"/>
              <w:right w:val="dashed" w:color="auto" w:sz="4" w:space="0"/>
            </w:tcBorders>
            <w:vAlign w:val="center"/>
          </w:tcPr>
          <w:p>
            <w:pPr>
              <w:widowControl/>
              <w:jc w:val="right"/>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4,515.88</w:t>
            </w:r>
          </w:p>
        </w:tc>
        <w:tc>
          <w:tcPr>
            <w:tcW w:w="450" w:type="pct"/>
            <w:tcBorders>
              <w:top w:val="dashed" w:color="000000" w:sz="4" w:space="0"/>
              <w:left w:val="dashed" w:color="auto" w:sz="4" w:space="0"/>
              <w:bottom w:val="dashed" w:color="000000" w:sz="4" w:space="0"/>
              <w:right w:val="dashed" w:color="auto" w:sz="4" w:space="0"/>
            </w:tcBorders>
            <w:vAlign w:val="center"/>
          </w:tcPr>
          <w:p>
            <w:pPr>
              <w:widowControl/>
              <w:jc w:val="center"/>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不适用</w:t>
            </w:r>
          </w:p>
        </w:tc>
        <w:tc>
          <w:tcPr>
            <w:tcW w:w="305" w:type="pct"/>
            <w:tcBorders>
              <w:top w:val="dashed" w:color="000000" w:sz="4" w:space="0"/>
              <w:left w:val="dashed" w:color="auto" w:sz="4" w:space="0"/>
              <w:bottom w:val="dashed" w:color="000000" w:sz="4" w:space="0"/>
              <w:right w:val="dashed" w:color="auto" w:sz="4" w:space="0"/>
            </w:tcBorders>
            <w:vAlign w:val="center"/>
          </w:tcPr>
          <w:p>
            <w:pPr>
              <w:widowControl/>
              <w:jc w:val="center"/>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不适用</w:t>
            </w:r>
          </w:p>
        </w:tc>
        <w:tc>
          <w:tcPr>
            <w:tcW w:w="358" w:type="pct"/>
            <w:tcBorders>
              <w:top w:val="dashed" w:color="000000" w:sz="4" w:space="0"/>
              <w:left w:val="dashed" w:color="auto" w:sz="4" w:space="0"/>
              <w:bottom w:val="dashed" w:color="000000" w:sz="4" w:space="0"/>
              <w:right w:val="dashed" w:color="auto" w:sz="4" w:space="0"/>
            </w:tcBorders>
            <w:vAlign w:val="center"/>
          </w:tcPr>
          <w:p>
            <w:pPr>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2019.12</w:t>
            </w:r>
          </w:p>
          <w:p>
            <w:pPr>
              <w:widowControl/>
              <w:jc w:val="center"/>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[注6]</w:t>
            </w:r>
          </w:p>
        </w:tc>
        <w:tc>
          <w:tcPr>
            <w:tcW w:w="360" w:type="pct"/>
            <w:tcBorders>
              <w:top w:val="dashed" w:color="000000" w:sz="4" w:space="0"/>
              <w:left w:val="dashed" w:color="auto" w:sz="4" w:space="0"/>
              <w:bottom w:val="dashed" w:color="000000" w:sz="4" w:space="0"/>
              <w:right w:val="dashed" w:color="auto" w:sz="4" w:space="0"/>
            </w:tcBorders>
            <w:vAlign w:val="center"/>
          </w:tcPr>
          <w:p>
            <w:pPr>
              <w:widowControl/>
              <w:jc w:val="center"/>
              <w:rPr>
                <w:rFonts w:hint="eastAsia" w:ascii="宋体" w:hAnsi="宋体" w:eastAsia="宋体" w:cs="宋体"/>
                <w:color w:val="000000" w:themeColor="text1"/>
                <w:kern w:val="0"/>
                <w:sz w:val="18"/>
                <w:szCs w:val="18"/>
                <w:highlight w:val="none"/>
                <w14:textFill>
                  <w14:solidFill>
                    <w14:schemeClr w14:val="tx1"/>
                  </w14:solidFill>
                </w14:textFill>
              </w:rPr>
            </w:pPr>
          </w:p>
        </w:tc>
        <w:tc>
          <w:tcPr>
            <w:tcW w:w="302" w:type="pct"/>
            <w:tcBorders>
              <w:top w:val="dashed" w:color="000000" w:sz="4" w:space="0"/>
              <w:left w:val="dashed" w:color="auto" w:sz="4" w:space="0"/>
              <w:bottom w:val="dashed" w:color="000000" w:sz="4" w:space="0"/>
              <w:right w:val="dashed" w:color="auto" w:sz="4" w:space="0"/>
            </w:tcBorders>
            <w:vAlign w:val="center"/>
          </w:tcPr>
          <w:p>
            <w:pPr>
              <w:widowControl/>
              <w:jc w:val="center"/>
              <w:rPr>
                <w:rFonts w:hint="eastAsia" w:ascii="宋体" w:hAnsi="宋体" w:eastAsia="宋体" w:cs="宋体"/>
                <w:color w:val="000000" w:themeColor="text1"/>
                <w:kern w:val="0"/>
                <w:sz w:val="18"/>
                <w:szCs w:val="18"/>
                <w:highlight w:val="none"/>
                <w14:textFill>
                  <w14:solidFill>
                    <w14:schemeClr w14:val="tx1"/>
                  </w14:solidFill>
                </w14:textFill>
              </w:rPr>
            </w:pPr>
          </w:p>
        </w:tc>
        <w:tc>
          <w:tcPr>
            <w:tcW w:w="310" w:type="pct"/>
            <w:tcBorders>
              <w:top w:val="dashed" w:color="000000" w:sz="4" w:space="0"/>
              <w:left w:val="dashed" w:color="auto" w:sz="4" w:space="0"/>
              <w:bottom w:val="dashed" w:color="000000" w:sz="4" w:space="0"/>
              <w:right w:val="nil"/>
            </w:tcBorders>
            <w:vAlign w:val="center"/>
          </w:tcPr>
          <w:p>
            <w:pPr>
              <w:widowControl/>
              <w:jc w:val="center"/>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kern w:val="0"/>
                <w:sz w:val="18"/>
                <w:szCs w:val="18"/>
                <w:highlight w:val="none"/>
                <w14:textFill>
                  <w14:solidFill>
                    <w14:schemeClr w14:val="tx1"/>
                  </w14:solidFill>
                </w14:textFill>
              </w:rPr>
              <w:t>是</w:t>
            </w:r>
          </w:p>
          <w:p>
            <w:pPr>
              <w:widowControl/>
              <w:jc w:val="center"/>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kern w:val="0"/>
                <w:sz w:val="18"/>
                <w:szCs w:val="18"/>
                <w:highlight w:val="none"/>
                <w14:textFill>
                  <w14:solidFill>
                    <w14:schemeClr w14:val="tx1"/>
                  </w14:solidFill>
                </w14:textFill>
              </w:rPr>
              <w:t>[注</w:t>
            </w:r>
            <w:r>
              <w:rPr>
                <w:rFonts w:hint="eastAsia" w:ascii="宋体" w:hAnsi="宋体" w:eastAsia="宋体" w:cs="宋体"/>
                <w:color w:val="000000" w:themeColor="text1"/>
                <w:sz w:val="18"/>
                <w:szCs w:val="18"/>
                <w:highlight w:val="none"/>
                <w14:textFill>
                  <w14:solidFill>
                    <w14:schemeClr w14:val="tx1"/>
                  </w14:solidFill>
                </w14:textFill>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33" w:type="pct"/>
            <w:tcBorders>
              <w:top w:val="dashed" w:color="000000" w:sz="4" w:space="0"/>
              <w:left w:val="nil"/>
              <w:bottom w:val="dashed" w:color="000000" w:sz="4" w:space="0"/>
              <w:right w:val="dashed" w:color="auto" w:sz="4" w:space="0"/>
            </w:tcBorders>
            <w:vAlign w:val="center"/>
          </w:tcPr>
          <w:p>
            <w:pPr>
              <w:widowControl/>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原料药（河东）、制剂（河西）调整改建项目</w:t>
            </w:r>
          </w:p>
        </w:tc>
        <w:tc>
          <w:tcPr>
            <w:tcW w:w="307" w:type="pct"/>
            <w:tcBorders>
              <w:top w:val="dashed" w:color="000000" w:sz="4" w:space="0"/>
              <w:left w:val="dashed" w:color="auto" w:sz="4" w:space="0"/>
              <w:bottom w:val="dashed" w:color="000000" w:sz="4" w:space="0"/>
              <w:right w:val="dashed" w:color="auto" w:sz="4" w:space="0"/>
            </w:tcBorders>
            <w:vAlign w:val="center"/>
          </w:tcPr>
          <w:p>
            <w:pPr>
              <w:widowControl/>
              <w:jc w:val="center"/>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否</w:t>
            </w:r>
          </w:p>
        </w:tc>
        <w:tc>
          <w:tcPr>
            <w:tcW w:w="378" w:type="pct"/>
            <w:tcBorders>
              <w:top w:val="dashed" w:color="000000" w:sz="4" w:space="0"/>
              <w:left w:val="dashed" w:color="auto" w:sz="4" w:space="0"/>
              <w:bottom w:val="dashed" w:color="000000" w:sz="4" w:space="0"/>
              <w:right w:val="dashed" w:color="auto" w:sz="4" w:space="0"/>
            </w:tcBorders>
            <w:vAlign w:val="center"/>
          </w:tcPr>
          <w:p>
            <w:pPr>
              <w:widowControl/>
              <w:jc w:val="right"/>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4,600.00</w:t>
            </w:r>
          </w:p>
        </w:tc>
        <w:tc>
          <w:tcPr>
            <w:tcW w:w="373" w:type="pct"/>
            <w:tcBorders>
              <w:top w:val="dashed" w:color="000000" w:sz="4" w:space="0"/>
              <w:left w:val="dashed" w:color="auto" w:sz="4" w:space="0"/>
              <w:bottom w:val="dashed" w:color="000000" w:sz="4" w:space="0"/>
              <w:right w:val="dashed" w:color="auto" w:sz="4" w:space="0"/>
            </w:tcBorders>
            <w:vAlign w:val="center"/>
          </w:tcPr>
          <w:p>
            <w:pPr>
              <w:widowControl/>
              <w:jc w:val="right"/>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4,600.00</w:t>
            </w:r>
          </w:p>
        </w:tc>
        <w:tc>
          <w:tcPr>
            <w:tcW w:w="307" w:type="pct"/>
            <w:tcBorders>
              <w:top w:val="dashed" w:color="000000" w:sz="4" w:space="0"/>
              <w:left w:val="dashed" w:color="auto" w:sz="4" w:space="0"/>
              <w:bottom w:val="dashed" w:color="000000" w:sz="4" w:space="0"/>
              <w:right w:val="dashed" w:color="auto" w:sz="4" w:space="0"/>
            </w:tcBorders>
            <w:vAlign w:val="center"/>
          </w:tcPr>
          <w:p>
            <w:pPr>
              <w:widowControl/>
              <w:jc w:val="center"/>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不适用</w:t>
            </w:r>
          </w:p>
        </w:tc>
        <w:tc>
          <w:tcPr>
            <w:tcW w:w="322" w:type="pct"/>
            <w:tcBorders>
              <w:top w:val="dashed" w:color="000000" w:sz="4" w:space="0"/>
              <w:left w:val="dashed" w:color="auto" w:sz="4" w:space="0"/>
              <w:bottom w:val="dashed" w:color="000000" w:sz="4" w:space="0"/>
              <w:right w:val="dashed" w:color="auto" w:sz="4" w:space="0"/>
            </w:tcBorders>
            <w:vAlign w:val="center"/>
          </w:tcPr>
          <w:p>
            <w:pPr>
              <w:widowControl/>
              <w:jc w:val="center"/>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kern w:val="0"/>
                <w:sz w:val="18"/>
                <w:szCs w:val="18"/>
                <w:highlight w:val="none"/>
                <w14:textFill>
                  <w14:solidFill>
                    <w14:schemeClr w14:val="tx1"/>
                  </w14:solidFill>
                </w14:textFill>
              </w:rPr>
              <w:t>不适用</w:t>
            </w:r>
          </w:p>
        </w:tc>
        <w:tc>
          <w:tcPr>
            <w:tcW w:w="389" w:type="pct"/>
            <w:tcBorders>
              <w:top w:val="dashed" w:color="000000" w:sz="4" w:space="0"/>
              <w:left w:val="dashed" w:color="auto" w:sz="4" w:space="0"/>
              <w:bottom w:val="dashed" w:color="000000" w:sz="4" w:space="0"/>
              <w:right w:val="dashed" w:color="auto" w:sz="4" w:space="0"/>
            </w:tcBorders>
            <w:vAlign w:val="center"/>
          </w:tcPr>
          <w:p>
            <w:pPr>
              <w:widowControl/>
              <w:jc w:val="right"/>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4,649.68</w:t>
            </w:r>
          </w:p>
        </w:tc>
        <w:tc>
          <w:tcPr>
            <w:tcW w:w="450" w:type="pct"/>
            <w:tcBorders>
              <w:top w:val="dashed" w:color="000000" w:sz="4" w:space="0"/>
              <w:left w:val="dashed" w:color="auto" w:sz="4" w:space="0"/>
              <w:bottom w:val="dashed" w:color="000000" w:sz="4" w:space="0"/>
              <w:right w:val="dashed" w:color="auto" w:sz="4" w:space="0"/>
            </w:tcBorders>
            <w:vAlign w:val="center"/>
          </w:tcPr>
          <w:p>
            <w:pPr>
              <w:widowControl/>
              <w:jc w:val="center"/>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不适用</w:t>
            </w:r>
          </w:p>
        </w:tc>
        <w:tc>
          <w:tcPr>
            <w:tcW w:w="305" w:type="pct"/>
            <w:tcBorders>
              <w:top w:val="dashed" w:color="000000" w:sz="4" w:space="0"/>
              <w:left w:val="dashed" w:color="auto" w:sz="4" w:space="0"/>
              <w:bottom w:val="dashed" w:color="000000" w:sz="4" w:space="0"/>
              <w:right w:val="dashed" w:color="auto" w:sz="4" w:space="0"/>
            </w:tcBorders>
            <w:vAlign w:val="center"/>
          </w:tcPr>
          <w:p>
            <w:pPr>
              <w:widowControl/>
              <w:jc w:val="center"/>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不适用</w:t>
            </w:r>
          </w:p>
        </w:tc>
        <w:tc>
          <w:tcPr>
            <w:tcW w:w="358" w:type="pct"/>
            <w:tcBorders>
              <w:top w:val="dashed" w:color="000000" w:sz="4" w:space="0"/>
              <w:left w:val="dashed" w:color="auto" w:sz="4" w:space="0"/>
              <w:bottom w:val="dashed" w:color="000000" w:sz="4" w:space="0"/>
              <w:right w:val="dashed" w:color="auto" w:sz="4" w:space="0"/>
            </w:tcBorders>
            <w:vAlign w:val="center"/>
          </w:tcPr>
          <w:p>
            <w:pPr>
              <w:widowControl/>
              <w:jc w:val="center"/>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2017.07</w:t>
            </w:r>
          </w:p>
        </w:tc>
        <w:tc>
          <w:tcPr>
            <w:tcW w:w="360" w:type="pct"/>
            <w:tcBorders>
              <w:top w:val="dashed" w:color="000000" w:sz="4" w:space="0"/>
              <w:left w:val="dashed" w:color="auto" w:sz="4" w:space="0"/>
              <w:bottom w:val="dashed" w:color="000000" w:sz="4" w:space="0"/>
              <w:right w:val="dashed" w:color="auto" w:sz="4" w:space="0"/>
            </w:tcBorders>
            <w:vAlign w:val="center"/>
          </w:tcPr>
          <w:p>
            <w:pPr>
              <w:widowControl/>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50.35</w:t>
            </w:r>
          </w:p>
          <w:p>
            <w:pPr>
              <w:widowControl/>
              <w:jc w:val="center"/>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w:t>
            </w:r>
            <w:r>
              <w:rPr>
                <w:rFonts w:hint="eastAsia" w:ascii="宋体" w:hAnsi="宋体" w:eastAsia="宋体" w:cs="宋体"/>
                <w:color w:val="000000" w:themeColor="text1"/>
                <w:kern w:val="0"/>
                <w:sz w:val="18"/>
                <w:szCs w:val="18"/>
                <w:highlight w:val="none"/>
                <w14:textFill>
                  <w14:solidFill>
                    <w14:schemeClr w14:val="tx1"/>
                  </w14:solidFill>
                </w14:textFill>
              </w:rPr>
              <w:t>注</w:t>
            </w:r>
            <w:r>
              <w:rPr>
                <w:rFonts w:hint="eastAsia" w:ascii="宋体" w:hAnsi="宋体" w:eastAsia="宋体" w:cs="宋体"/>
                <w:color w:val="000000" w:themeColor="text1"/>
                <w:sz w:val="18"/>
                <w:szCs w:val="18"/>
                <w:highlight w:val="none"/>
                <w14:textFill>
                  <w14:solidFill>
                    <w14:schemeClr w14:val="tx1"/>
                  </w14:solidFill>
                </w14:textFill>
              </w:rPr>
              <w:t>3]</w:t>
            </w:r>
          </w:p>
        </w:tc>
        <w:tc>
          <w:tcPr>
            <w:tcW w:w="302" w:type="pct"/>
            <w:tcBorders>
              <w:top w:val="dashed" w:color="000000" w:sz="4" w:space="0"/>
              <w:left w:val="dashed" w:color="auto" w:sz="4" w:space="0"/>
              <w:bottom w:val="dashed" w:color="000000" w:sz="4" w:space="0"/>
              <w:right w:val="dashed" w:color="auto" w:sz="4" w:space="0"/>
            </w:tcBorders>
            <w:vAlign w:val="center"/>
          </w:tcPr>
          <w:p>
            <w:pPr>
              <w:widowControl/>
              <w:jc w:val="center"/>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kern w:val="0"/>
                <w:sz w:val="18"/>
                <w:szCs w:val="18"/>
                <w:highlight w:val="none"/>
                <w14:textFill>
                  <w14:solidFill>
                    <w14:schemeClr w14:val="tx1"/>
                  </w14:solidFill>
                </w14:textFill>
              </w:rPr>
              <w:t>否</w:t>
            </w:r>
          </w:p>
          <w:p>
            <w:pPr>
              <w:widowControl/>
              <w:jc w:val="center"/>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w:t>
            </w:r>
            <w:r>
              <w:rPr>
                <w:rFonts w:hint="eastAsia" w:ascii="宋体" w:hAnsi="宋体" w:eastAsia="宋体" w:cs="宋体"/>
                <w:color w:val="000000" w:themeColor="text1"/>
                <w:kern w:val="0"/>
                <w:sz w:val="18"/>
                <w:szCs w:val="18"/>
                <w:highlight w:val="none"/>
                <w14:textFill>
                  <w14:solidFill>
                    <w14:schemeClr w14:val="tx1"/>
                  </w14:solidFill>
                </w14:textFill>
              </w:rPr>
              <w:t>注</w:t>
            </w:r>
            <w:r>
              <w:rPr>
                <w:rFonts w:hint="eastAsia" w:ascii="宋体" w:hAnsi="宋体" w:eastAsia="宋体" w:cs="宋体"/>
                <w:color w:val="000000" w:themeColor="text1"/>
                <w:sz w:val="18"/>
                <w:szCs w:val="18"/>
                <w:highlight w:val="none"/>
                <w14:textFill>
                  <w14:solidFill>
                    <w14:schemeClr w14:val="tx1"/>
                  </w14:solidFill>
                </w14:textFill>
              </w:rPr>
              <w:t>4]</w:t>
            </w:r>
          </w:p>
        </w:tc>
        <w:tc>
          <w:tcPr>
            <w:tcW w:w="310" w:type="pct"/>
            <w:tcBorders>
              <w:top w:val="dashed" w:color="000000" w:sz="4" w:space="0"/>
              <w:left w:val="dashed" w:color="auto" w:sz="4" w:space="0"/>
              <w:bottom w:val="dashed" w:color="000000" w:sz="4" w:space="0"/>
              <w:right w:val="nil"/>
            </w:tcBorders>
            <w:vAlign w:val="center"/>
          </w:tcPr>
          <w:p>
            <w:pPr>
              <w:widowControl/>
              <w:ind w:right="360"/>
              <w:jc w:val="center"/>
              <w:rPr>
                <w:rFonts w:hint="eastAsia" w:ascii="宋体" w:hAnsi="宋体" w:eastAsia="宋体" w:cs="宋体"/>
                <w:color w:val="000000" w:themeColor="text1"/>
                <w:kern w:val="0"/>
                <w:sz w:val="18"/>
                <w:szCs w:val="1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33" w:type="pct"/>
            <w:tcBorders>
              <w:top w:val="dashed" w:color="000000" w:sz="4" w:space="0"/>
              <w:left w:val="nil"/>
              <w:bottom w:val="dashed" w:color="000000" w:sz="4" w:space="0"/>
              <w:right w:val="dashed" w:color="auto" w:sz="4" w:space="0"/>
            </w:tcBorders>
            <w:vAlign w:val="center"/>
          </w:tcPr>
          <w:p>
            <w:pPr>
              <w:widowControl/>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原料药二期项目</w:t>
            </w:r>
          </w:p>
        </w:tc>
        <w:tc>
          <w:tcPr>
            <w:tcW w:w="307" w:type="pct"/>
            <w:tcBorders>
              <w:top w:val="dashed" w:color="000000" w:sz="4" w:space="0"/>
              <w:left w:val="dashed" w:color="auto" w:sz="4" w:space="0"/>
              <w:bottom w:val="dashed" w:color="000000" w:sz="4" w:space="0"/>
              <w:right w:val="dashed" w:color="auto" w:sz="4" w:space="0"/>
            </w:tcBorders>
            <w:vAlign w:val="center"/>
          </w:tcPr>
          <w:p>
            <w:pPr>
              <w:widowControl/>
              <w:jc w:val="center"/>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是</w:t>
            </w:r>
          </w:p>
        </w:tc>
        <w:tc>
          <w:tcPr>
            <w:tcW w:w="378" w:type="pct"/>
            <w:tcBorders>
              <w:top w:val="dashed" w:color="000000" w:sz="4" w:space="0"/>
              <w:left w:val="dashed" w:color="auto" w:sz="4" w:space="0"/>
              <w:bottom w:val="dashed" w:color="000000" w:sz="4" w:space="0"/>
              <w:right w:val="dashed" w:color="auto" w:sz="4" w:space="0"/>
            </w:tcBorders>
            <w:vAlign w:val="center"/>
          </w:tcPr>
          <w:p>
            <w:pPr>
              <w:widowControl/>
              <w:ind w:firstLine="360" w:firstLineChars="200"/>
              <w:jc w:val="right"/>
              <w:rPr>
                <w:rFonts w:hint="eastAsia" w:ascii="宋体" w:hAnsi="宋体" w:eastAsia="宋体" w:cs="宋体"/>
                <w:color w:val="000000" w:themeColor="text1"/>
                <w:sz w:val="18"/>
                <w:szCs w:val="18"/>
                <w:highlight w:val="none"/>
                <w14:textFill>
                  <w14:solidFill>
                    <w14:schemeClr w14:val="tx1"/>
                  </w14:solidFill>
                </w14:textFill>
              </w:rPr>
            </w:pPr>
          </w:p>
        </w:tc>
        <w:tc>
          <w:tcPr>
            <w:tcW w:w="373" w:type="pct"/>
            <w:tcBorders>
              <w:top w:val="dashed" w:color="000000" w:sz="4" w:space="0"/>
              <w:left w:val="dashed" w:color="auto" w:sz="4" w:space="0"/>
              <w:bottom w:val="dashed" w:color="000000" w:sz="4" w:space="0"/>
              <w:right w:val="dashed" w:color="auto" w:sz="4" w:space="0"/>
            </w:tcBorders>
            <w:vAlign w:val="center"/>
          </w:tcPr>
          <w:p>
            <w:pPr>
              <w:widowControl/>
              <w:jc w:val="right"/>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2,867.45</w:t>
            </w:r>
          </w:p>
        </w:tc>
        <w:tc>
          <w:tcPr>
            <w:tcW w:w="307" w:type="pct"/>
            <w:tcBorders>
              <w:top w:val="dashed" w:color="000000" w:sz="4" w:space="0"/>
              <w:left w:val="dashed" w:color="auto" w:sz="4" w:space="0"/>
              <w:bottom w:val="dashed" w:color="000000" w:sz="4" w:space="0"/>
              <w:right w:val="dashed" w:color="auto" w:sz="4" w:space="0"/>
            </w:tcBorders>
            <w:vAlign w:val="center"/>
          </w:tcPr>
          <w:p>
            <w:pPr>
              <w:widowControl/>
              <w:jc w:val="center"/>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不适用</w:t>
            </w:r>
          </w:p>
        </w:tc>
        <w:tc>
          <w:tcPr>
            <w:tcW w:w="322" w:type="pct"/>
            <w:tcBorders>
              <w:top w:val="dashed" w:color="000000" w:sz="4" w:space="0"/>
              <w:left w:val="dashed" w:color="auto" w:sz="4" w:space="0"/>
              <w:bottom w:val="dashed" w:color="000000" w:sz="4" w:space="0"/>
              <w:right w:val="dashed" w:color="auto" w:sz="4" w:space="0"/>
            </w:tcBorders>
            <w:vAlign w:val="center"/>
          </w:tcPr>
          <w:p>
            <w:pPr>
              <w:widowControl/>
              <w:jc w:val="right"/>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0.00</w:t>
            </w:r>
          </w:p>
        </w:tc>
        <w:tc>
          <w:tcPr>
            <w:tcW w:w="389" w:type="pct"/>
            <w:tcBorders>
              <w:top w:val="dashed" w:color="000000" w:sz="4" w:space="0"/>
              <w:left w:val="dashed" w:color="auto" w:sz="4" w:space="0"/>
              <w:bottom w:val="dashed" w:color="000000" w:sz="4" w:space="0"/>
              <w:right w:val="dashed" w:color="auto" w:sz="4" w:space="0"/>
            </w:tcBorders>
            <w:vAlign w:val="center"/>
          </w:tcPr>
          <w:p>
            <w:pPr>
              <w:widowControl/>
              <w:jc w:val="right"/>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2,627.71</w:t>
            </w:r>
          </w:p>
        </w:tc>
        <w:tc>
          <w:tcPr>
            <w:tcW w:w="450" w:type="pct"/>
            <w:tcBorders>
              <w:top w:val="dashed" w:color="000000" w:sz="4" w:space="0"/>
              <w:left w:val="dashed" w:color="auto" w:sz="4" w:space="0"/>
              <w:bottom w:val="dashed" w:color="000000" w:sz="4" w:space="0"/>
              <w:right w:val="dashed" w:color="auto" w:sz="4" w:space="0"/>
            </w:tcBorders>
            <w:vAlign w:val="center"/>
          </w:tcPr>
          <w:p>
            <w:pPr>
              <w:widowControl/>
              <w:jc w:val="center"/>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不适用</w:t>
            </w:r>
          </w:p>
        </w:tc>
        <w:tc>
          <w:tcPr>
            <w:tcW w:w="305" w:type="pct"/>
            <w:tcBorders>
              <w:top w:val="dashed" w:color="000000" w:sz="4" w:space="0"/>
              <w:left w:val="dashed" w:color="auto" w:sz="4" w:space="0"/>
              <w:bottom w:val="dashed" w:color="000000" w:sz="4" w:space="0"/>
              <w:right w:val="dashed" w:color="auto" w:sz="4" w:space="0"/>
            </w:tcBorders>
            <w:vAlign w:val="center"/>
          </w:tcPr>
          <w:p>
            <w:pPr>
              <w:widowControl/>
              <w:jc w:val="center"/>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不适用</w:t>
            </w:r>
          </w:p>
        </w:tc>
        <w:tc>
          <w:tcPr>
            <w:tcW w:w="358" w:type="pct"/>
            <w:tcBorders>
              <w:top w:val="dashed" w:color="000000" w:sz="4" w:space="0"/>
              <w:left w:val="dashed" w:color="auto" w:sz="4" w:space="0"/>
              <w:bottom w:val="dashed" w:color="000000" w:sz="4" w:space="0"/>
              <w:right w:val="dashed" w:color="auto" w:sz="4" w:space="0"/>
            </w:tcBorders>
            <w:vAlign w:val="center"/>
          </w:tcPr>
          <w:p>
            <w:pPr>
              <w:widowControl/>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2025.07</w:t>
            </w:r>
          </w:p>
          <w:p>
            <w:pPr>
              <w:widowControl/>
              <w:jc w:val="center"/>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w:t>
            </w:r>
            <w:r>
              <w:rPr>
                <w:rFonts w:hint="eastAsia" w:ascii="宋体" w:hAnsi="宋体" w:eastAsia="宋体" w:cs="宋体"/>
                <w:color w:val="000000" w:themeColor="text1"/>
                <w:kern w:val="0"/>
                <w:sz w:val="18"/>
                <w:szCs w:val="18"/>
                <w:highlight w:val="none"/>
                <w14:textFill>
                  <w14:solidFill>
                    <w14:schemeClr w14:val="tx1"/>
                  </w14:solidFill>
                </w14:textFill>
              </w:rPr>
              <w:t>注</w:t>
            </w:r>
            <w:r>
              <w:rPr>
                <w:rFonts w:hint="eastAsia" w:ascii="宋体" w:hAnsi="宋体" w:eastAsia="宋体" w:cs="宋体"/>
                <w:color w:val="000000" w:themeColor="text1"/>
                <w:sz w:val="18"/>
                <w:szCs w:val="18"/>
                <w:highlight w:val="none"/>
                <w14:textFill>
                  <w14:solidFill>
                    <w14:schemeClr w14:val="tx1"/>
                  </w14:solidFill>
                </w14:textFill>
              </w:rPr>
              <w:t>8]</w:t>
            </w:r>
          </w:p>
        </w:tc>
        <w:tc>
          <w:tcPr>
            <w:tcW w:w="360" w:type="pct"/>
            <w:tcBorders>
              <w:top w:val="dashed" w:color="000000" w:sz="4" w:space="0"/>
              <w:left w:val="dashed" w:color="auto" w:sz="4" w:space="0"/>
              <w:bottom w:val="dashed" w:color="000000" w:sz="4" w:space="0"/>
              <w:right w:val="dashed" w:color="auto" w:sz="4" w:space="0"/>
            </w:tcBorders>
            <w:vAlign w:val="center"/>
          </w:tcPr>
          <w:p>
            <w:pPr>
              <w:widowControl/>
              <w:jc w:val="center"/>
              <w:rPr>
                <w:rFonts w:hint="eastAsia" w:ascii="宋体" w:hAnsi="宋体" w:eastAsia="宋体" w:cs="宋体"/>
                <w:color w:val="000000" w:themeColor="text1"/>
                <w:kern w:val="0"/>
                <w:sz w:val="18"/>
                <w:szCs w:val="18"/>
                <w:highlight w:val="none"/>
                <w14:textFill>
                  <w14:solidFill>
                    <w14:schemeClr w14:val="tx1"/>
                  </w14:solidFill>
                </w14:textFill>
              </w:rPr>
            </w:pPr>
          </w:p>
        </w:tc>
        <w:tc>
          <w:tcPr>
            <w:tcW w:w="302" w:type="pct"/>
            <w:tcBorders>
              <w:top w:val="dashed" w:color="000000" w:sz="4" w:space="0"/>
              <w:left w:val="dashed" w:color="auto" w:sz="4" w:space="0"/>
              <w:bottom w:val="dashed" w:color="000000" w:sz="4" w:space="0"/>
              <w:right w:val="dashed" w:color="auto" w:sz="4" w:space="0"/>
            </w:tcBorders>
            <w:vAlign w:val="center"/>
          </w:tcPr>
          <w:p>
            <w:pPr>
              <w:widowControl/>
              <w:jc w:val="center"/>
              <w:rPr>
                <w:rFonts w:hint="eastAsia" w:ascii="宋体" w:hAnsi="宋体" w:eastAsia="宋体" w:cs="宋体"/>
                <w:color w:val="000000" w:themeColor="text1"/>
                <w:kern w:val="0"/>
                <w:sz w:val="18"/>
                <w:szCs w:val="18"/>
                <w:highlight w:val="none"/>
                <w14:textFill>
                  <w14:solidFill>
                    <w14:schemeClr w14:val="tx1"/>
                  </w14:solidFill>
                </w14:textFill>
              </w:rPr>
            </w:pPr>
          </w:p>
        </w:tc>
        <w:tc>
          <w:tcPr>
            <w:tcW w:w="310" w:type="pct"/>
            <w:tcBorders>
              <w:top w:val="dashed" w:color="000000" w:sz="4" w:space="0"/>
              <w:left w:val="dashed" w:color="auto" w:sz="4" w:space="0"/>
              <w:bottom w:val="dashed" w:color="000000" w:sz="4" w:space="0"/>
              <w:right w:val="nil"/>
            </w:tcBorders>
            <w:vAlign w:val="center"/>
          </w:tcPr>
          <w:p>
            <w:pPr>
              <w:widowControl/>
              <w:jc w:val="center"/>
              <w:rPr>
                <w:rFonts w:hint="eastAsia" w:ascii="宋体" w:hAnsi="宋体" w:eastAsia="宋体" w:cs="宋体"/>
                <w:color w:val="000000" w:themeColor="text1"/>
                <w:kern w:val="0"/>
                <w:sz w:val="18"/>
                <w:szCs w:val="1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33" w:type="pct"/>
            <w:tcBorders>
              <w:top w:val="dashed" w:color="000000" w:sz="4" w:space="0"/>
              <w:left w:val="nil"/>
              <w:bottom w:val="dashed" w:color="000000" w:sz="4" w:space="0"/>
              <w:right w:val="dashed" w:color="auto" w:sz="4" w:space="0"/>
            </w:tcBorders>
            <w:vAlign w:val="center"/>
          </w:tcPr>
          <w:p>
            <w:pPr>
              <w:widowControl/>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药品自动化立体仓库项目</w:t>
            </w:r>
          </w:p>
        </w:tc>
        <w:tc>
          <w:tcPr>
            <w:tcW w:w="307" w:type="pct"/>
            <w:tcBorders>
              <w:top w:val="dashed" w:color="000000" w:sz="4" w:space="0"/>
              <w:left w:val="dashed" w:color="auto" w:sz="4" w:space="0"/>
              <w:bottom w:val="dashed" w:color="000000" w:sz="4" w:space="0"/>
              <w:right w:val="dashed" w:color="auto" w:sz="4" w:space="0"/>
            </w:tcBorders>
            <w:vAlign w:val="center"/>
          </w:tcPr>
          <w:p>
            <w:pPr>
              <w:widowControl/>
              <w:jc w:val="center"/>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是</w:t>
            </w:r>
          </w:p>
        </w:tc>
        <w:tc>
          <w:tcPr>
            <w:tcW w:w="378" w:type="pct"/>
            <w:tcBorders>
              <w:top w:val="dashed" w:color="000000" w:sz="4" w:space="0"/>
              <w:left w:val="dashed" w:color="auto" w:sz="4" w:space="0"/>
              <w:bottom w:val="dashed" w:color="000000" w:sz="4" w:space="0"/>
              <w:right w:val="dashed" w:color="auto" w:sz="4" w:space="0"/>
            </w:tcBorders>
            <w:vAlign w:val="center"/>
          </w:tcPr>
          <w:p>
            <w:pPr>
              <w:widowControl/>
              <w:jc w:val="right"/>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3,679.68</w:t>
            </w:r>
          </w:p>
        </w:tc>
        <w:tc>
          <w:tcPr>
            <w:tcW w:w="373" w:type="pct"/>
            <w:tcBorders>
              <w:top w:val="dashed" w:color="000000" w:sz="4" w:space="0"/>
              <w:left w:val="dashed" w:color="auto" w:sz="4" w:space="0"/>
              <w:bottom w:val="dashed" w:color="000000" w:sz="4" w:space="0"/>
              <w:right w:val="dashed" w:color="auto" w:sz="4" w:space="0"/>
            </w:tcBorders>
            <w:vAlign w:val="center"/>
          </w:tcPr>
          <w:p>
            <w:pPr>
              <w:widowControl/>
              <w:jc w:val="right"/>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812.23</w:t>
            </w:r>
          </w:p>
        </w:tc>
        <w:tc>
          <w:tcPr>
            <w:tcW w:w="307" w:type="pct"/>
            <w:tcBorders>
              <w:top w:val="dashed" w:color="000000" w:sz="4" w:space="0"/>
              <w:left w:val="dashed" w:color="auto" w:sz="4" w:space="0"/>
              <w:bottom w:val="dashed" w:color="000000" w:sz="4" w:space="0"/>
              <w:right w:val="dashed" w:color="auto" w:sz="4" w:space="0"/>
            </w:tcBorders>
            <w:vAlign w:val="center"/>
          </w:tcPr>
          <w:p>
            <w:pPr>
              <w:widowControl/>
              <w:jc w:val="center"/>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不适用</w:t>
            </w:r>
          </w:p>
        </w:tc>
        <w:tc>
          <w:tcPr>
            <w:tcW w:w="322" w:type="pct"/>
            <w:tcBorders>
              <w:top w:val="dashed" w:color="000000" w:sz="4" w:space="0"/>
              <w:left w:val="dashed" w:color="auto" w:sz="4" w:space="0"/>
              <w:bottom w:val="dashed" w:color="000000" w:sz="4" w:space="0"/>
              <w:right w:val="dashed" w:color="auto" w:sz="4" w:space="0"/>
            </w:tcBorders>
            <w:vAlign w:val="center"/>
          </w:tcPr>
          <w:p>
            <w:pPr>
              <w:widowControl/>
              <w:jc w:val="center"/>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kern w:val="0"/>
                <w:sz w:val="18"/>
                <w:szCs w:val="18"/>
                <w:highlight w:val="none"/>
                <w14:textFill>
                  <w14:solidFill>
                    <w14:schemeClr w14:val="tx1"/>
                  </w14:solidFill>
                </w14:textFill>
              </w:rPr>
              <w:t>不适用</w:t>
            </w:r>
          </w:p>
        </w:tc>
        <w:tc>
          <w:tcPr>
            <w:tcW w:w="389" w:type="pct"/>
            <w:tcBorders>
              <w:top w:val="dashed" w:color="000000" w:sz="4" w:space="0"/>
              <w:left w:val="dashed" w:color="auto" w:sz="4" w:space="0"/>
              <w:bottom w:val="dashed" w:color="000000" w:sz="4" w:space="0"/>
              <w:right w:val="dashed" w:color="auto" w:sz="4" w:space="0"/>
            </w:tcBorders>
            <w:vAlign w:val="center"/>
          </w:tcPr>
          <w:p>
            <w:pPr>
              <w:widowControl/>
              <w:jc w:val="right"/>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874.70</w:t>
            </w:r>
          </w:p>
        </w:tc>
        <w:tc>
          <w:tcPr>
            <w:tcW w:w="450" w:type="pct"/>
            <w:tcBorders>
              <w:top w:val="dashed" w:color="000000" w:sz="4" w:space="0"/>
              <w:left w:val="dashed" w:color="auto" w:sz="4" w:space="0"/>
              <w:bottom w:val="dashed" w:color="000000" w:sz="4" w:space="0"/>
              <w:right w:val="dashed" w:color="auto" w:sz="4" w:space="0"/>
            </w:tcBorders>
            <w:vAlign w:val="center"/>
          </w:tcPr>
          <w:p>
            <w:pPr>
              <w:widowControl/>
              <w:jc w:val="center"/>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不适用</w:t>
            </w:r>
          </w:p>
        </w:tc>
        <w:tc>
          <w:tcPr>
            <w:tcW w:w="305" w:type="pct"/>
            <w:tcBorders>
              <w:top w:val="dashed" w:color="000000" w:sz="4" w:space="0"/>
              <w:left w:val="dashed" w:color="auto" w:sz="4" w:space="0"/>
              <w:bottom w:val="dashed" w:color="000000" w:sz="4" w:space="0"/>
              <w:right w:val="dashed" w:color="auto" w:sz="4" w:space="0"/>
            </w:tcBorders>
            <w:vAlign w:val="center"/>
          </w:tcPr>
          <w:p>
            <w:pPr>
              <w:widowControl/>
              <w:jc w:val="center"/>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不适用</w:t>
            </w:r>
          </w:p>
        </w:tc>
        <w:tc>
          <w:tcPr>
            <w:tcW w:w="358" w:type="pct"/>
            <w:tcBorders>
              <w:top w:val="dashed" w:color="000000" w:sz="4" w:space="0"/>
              <w:left w:val="dashed" w:color="auto" w:sz="4" w:space="0"/>
              <w:bottom w:val="dashed" w:color="000000" w:sz="4" w:space="0"/>
              <w:right w:val="dashed" w:color="auto" w:sz="4" w:space="0"/>
            </w:tcBorders>
            <w:vAlign w:val="center"/>
          </w:tcPr>
          <w:p>
            <w:pPr>
              <w:widowControl/>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2016.11</w:t>
            </w:r>
          </w:p>
          <w:p>
            <w:pPr>
              <w:widowControl/>
              <w:jc w:val="center"/>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[注1]</w:t>
            </w:r>
          </w:p>
        </w:tc>
        <w:tc>
          <w:tcPr>
            <w:tcW w:w="360" w:type="pct"/>
            <w:tcBorders>
              <w:top w:val="dashed" w:color="000000" w:sz="4" w:space="0"/>
              <w:left w:val="dashed" w:color="auto" w:sz="4" w:space="0"/>
              <w:bottom w:val="dashed" w:color="000000" w:sz="4" w:space="0"/>
              <w:right w:val="dashed" w:color="auto" w:sz="4" w:space="0"/>
            </w:tcBorders>
            <w:vAlign w:val="center"/>
          </w:tcPr>
          <w:p>
            <w:pPr>
              <w:widowControl/>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1,804.47</w:t>
            </w:r>
          </w:p>
          <w:p>
            <w:pPr>
              <w:widowControl/>
              <w:jc w:val="center"/>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kern w:val="0"/>
                <w:sz w:val="18"/>
                <w:szCs w:val="18"/>
                <w:highlight w:val="none"/>
                <w14:textFill>
                  <w14:solidFill>
                    <w14:schemeClr w14:val="tx1"/>
                  </w14:solidFill>
                </w14:textFill>
              </w:rPr>
              <w:t>[注</w:t>
            </w:r>
            <w:r>
              <w:rPr>
                <w:rFonts w:hint="eastAsia" w:ascii="宋体" w:hAnsi="宋体" w:eastAsia="宋体" w:cs="宋体"/>
                <w:color w:val="000000" w:themeColor="text1"/>
                <w:sz w:val="18"/>
                <w:szCs w:val="18"/>
                <w:highlight w:val="none"/>
                <w14:textFill>
                  <w14:solidFill>
                    <w14:schemeClr w14:val="tx1"/>
                  </w14:solidFill>
                </w14:textFill>
              </w:rPr>
              <w:t>5]</w:t>
            </w:r>
          </w:p>
        </w:tc>
        <w:tc>
          <w:tcPr>
            <w:tcW w:w="302" w:type="pct"/>
            <w:tcBorders>
              <w:top w:val="dashed" w:color="000000" w:sz="4" w:space="0"/>
              <w:left w:val="dashed" w:color="auto" w:sz="4" w:space="0"/>
              <w:bottom w:val="dashed" w:color="000000" w:sz="4" w:space="0"/>
              <w:right w:val="dashed" w:color="auto" w:sz="4" w:space="0"/>
            </w:tcBorders>
            <w:vAlign w:val="center"/>
          </w:tcPr>
          <w:p>
            <w:pPr>
              <w:widowControl/>
              <w:jc w:val="center"/>
              <w:rPr>
                <w:rFonts w:hint="eastAsia" w:ascii="宋体" w:hAnsi="宋体" w:eastAsia="宋体" w:cs="宋体"/>
                <w:color w:val="000000" w:themeColor="text1"/>
                <w:kern w:val="0"/>
                <w:sz w:val="18"/>
                <w:szCs w:val="18"/>
                <w:highlight w:val="none"/>
                <w14:textFill>
                  <w14:solidFill>
                    <w14:schemeClr w14:val="tx1"/>
                  </w14:solidFill>
                </w14:textFill>
              </w:rPr>
            </w:pPr>
          </w:p>
        </w:tc>
        <w:tc>
          <w:tcPr>
            <w:tcW w:w="310" w:type="pct"/>
            <w:tcBorders>
              <w:top w:val="dashed" w:color="000000" w:sz="4" w:space="0"/>
              <w:left w:val="dashed" w:color="auto" w:sz="4" w:space="0"/>
              <w:bottom w:val="dashed" w:color="000000" w:sz="4" w:space="0"/>
              <w:right w:val="nil"/>
            </w:tcBorders>
            <w:vAlign w:val="center"/>
          </w:tcPr>
          <w:p>
            <w:pPr>
              <w:widowControl/>
              <w:jc w:val="center"/>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kern w:val="0"/>
                <w:sz w:val="18"/>
                <w:szCs w:val="18"/>
                <w:highlight w:val="none"/>
                <w14:textFill>
                  <w14:solidFill>
                    <w14:schemeClr w14:val="tx1"/>
                  </w14:solidFill>
                </w14:textFill>
              </w:rPr>
              <w:t>是</w:t>
            </w:r>
            <w:r>
              <w:rPr>
                <w:rFonts w:hint="eastAsia" w:ascii="宋体" w:hAnsi="宋体" w:eastAsia="宋体" w:cs="宋体"/>
                <w:color w:val="000000" w:themeColor="text1"/>
                <w:sz w:val="18"/>
                <w:szCs w:val="18"/>
                <w:highlight w:val="none"/>
                <w14:textFill>
                  <w14:solidFill>
                    <w14:schemeClr w14:val="tx1"/>
                  </w14:solidFill>
                </w14:textFill>
              </w:rPr>
              <w:t>[</w:t>
            </w:r>
            <w:r>
              <w:rPr>
                <w:rFonts w:hint="eastAsia" w:ascii="宋体" w:hAnsi="宋体" w:eastAsia="宋体" w:cs="宋体"/>
                <w:color w:val="000000" w:themeColor="text1"/>
                <w:kern w:val="0"/>
                <w:sz w:val="18"/>
                <w:szCs w:val="18"/>
                <w:highlight w:val="none"/>
                <w14:textFill>
                  <w14:solidFill>
                    <w14:schemeClr w14:val="tx1"/>
                  </w14:solidFill>
                </w14:textFill>
              </w:rPr>
              <w:t>注</w:t>
            </w:r>
            <w:r>
              <w:rPr>
                <w:rFonts w:hint="eastAsia" w:ascii="宋体" w:hAnsi="宋体" w:eastAsia="宋体" w:cs="宋体"/>
                <w:color w:val="000000" w:themeColor="text1"/>
                <w:sz w:val="18"/>
                <w:szCs w:val="18"/>
                <w:highlight w:val="none"/>
                <w14:textFill>
                  <w14:solidFill>
                    <w14:schemeClr w14:val="tx1"/>
                  </w14:solidFill>
                </w14:textFill>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33" w:type="pct"/>
            <w:tcBorders>
              <w:top w:val="dashed" w:color="000000" w:sz="4" w:space="0"/>
              <w:left w:val="nil"/>
              <w:bottom w:val="dashed" w:color="000000" w:sz="4" w:space="0"/>
              <w:right w:val="dashed" w:color="auto" w:sz="4" w:space="0"/>
            </w:tcBorders>
            <w:vAlign w:val="center"/>
          </w:tcPr>
          <w:p>
            <w:pPr>
              <w:widowControl/>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医药营销网络建设项目</w:t>
            </w:r>
          </w:p>
        </w:tc>
        <w:tc>
          <w:tcPr>
            <w:tcW w:w="307" w:type="pct"/>
            <w:tcBorders>
              <w:top w:val="dashed" w:color="000000" w:sz="4" w:space="0"/>
              <w:left w:val="dashed" w:color="auto" w:sz="4" w:space="0"/>
              <w:bottom w:val="dashed" w:color="000000" w:sz="4" w:space="0"/>
              <w:right w:val="dashed" w:color="auto" w:sz="4" w:space="0"/>
            </w:tcBorders>
            <w:vAlign w:val="center"/>
          </w:tcPr>
          <w:p>
            <w:pPr>
              <w:widowControl/>
              <w:jc w:val="center"/>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否</w:t>
            </w:r>
          </w:p>
        </w:tc>
        <w:tc>
          <w:tcPr>
            <w:tcW w:w="378" w:type="pct"/>
            <w:tcBorders>
              <w:top w:val="dashed" w:color="000000" w:sz="4" w:space="0"/>
              <w:left w:val="dashed" w:color="auto" w:sz="4" w:space="0"/>
              <w:bottom w:val="dashed" w:color="000000" w:sz="4" w:space="0"/>
              <w:right w:val="dashed" w:color="auto" w:sz="4" w:space="0"/>
            </w:tcBorders>
            <w:vAlign w:val="center"/>
          </w:tcPr>
          <w:p>
            <w:pPr>
              <w:widowControl/>
              <w:jc w:val="right"/>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6,900.00</w:t>
            </w:r>
          </w:p>
        </w:tc>
        <w:tc>
          <w:tcPr>
            <w:tcW w:w="373" w:type="pct"/>
            <w:tcBorders>
              <w:top w:val="dashed" w:color="000000" w:sz="4" w:space="0"/>
              <w:left w:val="dashed" w:color="auto" w:sz="4" w:space="0"/>
              <w:bottom w:val="dashed" w:color="000000" w:sz="4" w:space="0"/>
              <w:right w:val="dashed" w:color="auto" w:sz="4" w:space="0"/>
            </w:tcBorders>
            <w:vAlign w:val="center"/>
          </w:tcPr>
          <w:p>
            <w:pPr>
              <w:widowControl/>
              <w:jc w:val="right"/>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6,900.00</w:t>
            </w:r>
          </w:p>
        </w:tc>
        <w:tc>
          <w:tcPr>
            <w:tcW w:w="307" w:type="pct"/>
            <w:tcBorders>
              <w:top w:val="dashed" w:color="000000" w:sz="4" w:space="0"/>
              <w:left w:val="dashed" w:color="auto" w:sz="4" w:space="0"/>
              <w:bottom w:val="dashed" w:color="000000" w:sz="4" w:space="0"/>
              <w:right w:val="dashed" w:color="auto" w:sz="4" w:space="0"/>
            </w:tcBorders>
            <w:vAlign w:val="center"/>
          </w:tcPr>
          <w:p>
            <w:pPr>
              <w:widowControl/>
              <w:jc w:val="center"/>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不适用</w:t>
            </w:r>
          </w:p>
        </w:tc>
        <w:tc>
          <w:tcPr>
            <w:tcW w:w="322" w:type="pct"/>
            <w:tcBorders>
              <w:top w:val="dashed" w:color="000000" w:sz="4" w:space="0"/>
              <w:left w:val="dashed" w:color="auto" w:sz="4" w:space="0"/>
              <w:bottom w:val="dashed" w:color="000000" w:sz="4" w:space="0"/>
              <w:right w:val="dashed" w:color="auto" w:sz="4" w:space="0"/>
            </w:tcBorders>
            <w:vAlign w:val="center"/>
          </w:tcPr>
          <w:p>
            <w:pPr>
              <w:widowControl/>
              <w:jc w:val="center"/>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kern w:val="0"/>
                <w:sz w:val="18"/>
                <w:szCs w:val="18"/>
                <w:highlight w:val="none"/>
                <w14:textFill>
                  <w14:solidFill>
                    <w14:schemeClr w14:val="tx1"/>
                  </w14:solidFill>
                </w14:textFill>
              </w:rPr>
              <w:t>不适用</w:t>
            </w:r>
          </w:p>
        </w:tc>
        <w:tc>
          <w:tcPr>
            <w:tcW w:w="389" w:type="pct"/>
            <w:tcBorders>
              <w:top w:val="dashed" w:color="000000" w:sz="4" w:space="0"/>
              <w:left w:val="dashed" w:color="auto" w:sz="4" w:space="0"/>
              <w:bottom w:val="dashed" w:color="000000" w:sz="4" w:space="0"/>
              <w:right w:val="dashed" w:color="auto" w:sz="4" w:space="0"/>
            </w:tcBorders>
            <w:vAlign w:val="center"/>
          </w:tcPr>
          <w:p>
            <w:pPr>
              <w:widowControl/>
              <w:jc w:val="right"/>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6,981.05</w:t>
            </w:r>
          </w:p>
        </w:tc>
        <w:tc>
          <w:tcPr>
            <w:tcW w:w="450" w:type="pct"/>
            <w:tcBorders>
              <w:top w:val="dashed" w:color="000000" w:sz="4" w:space="0"/>
              <w:left w:val="dashed" w:color="auto" w:sz="4" w:space="0"/>
              <w:bottom w:val="dashed" w:color="000000" w:sz="4" w:space="0"/>
              <w:right w:val="dashed" w:color="auto" w:sz="4" w:space="0"/>
            </w:tcBorders>
            <w:vAlign w:val="center"/>
          </w:tcPr>
          <w:p>
            <w:pPr>
              <w:widowControl/>
              <w:jc w:val="center"/>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不适用</w:t>
            </w:r>
          </w:p>
        </w:tc>
        <w:tc>
          <w:tcPr>
            <w:tcW w:w="305" w:type="pct"/>
            <w:tcBorders>
              <w:top w:val="dashed" w:color="000000" w:sz="4" w:space="0"/>
              <w:left w:val="dashed" w:color="auto" w:sz="4" w:space="0"/>
              <w:bottom w:val="dashed" w:color="000000" w:sz="4" w:space="0"/>
              <w:right w:val="dashed" w:color="auto" w:sz="4" w:space="0"/>
            </w:tcBorders>
            <w:vAlign w:val="center"/>
          </w:tcPr>
          <w:p>
            <w:pPr>
              <w:widowControl/>
              <w:jc w:val="center"/>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不适用</w:t>
            </w:r>
          </w:p>
        </w:tc>
        <w:tc>
          <w:tcPr>
            <w:tcW w:w="358" w:type="pct"/>
            <w:tcBorders>
              <w:top w:val="dashed" w:color="000000" w:sz="4" w:space="0"/>
              <w:left w:val="dashed" w:color="auto" w:sz="4" w:space="0"/>
              <w:bottom w:val="dashed" w:color="000000" w:sz="4" w:space="0"/>
              <w:right w:val="dashed" w:color="auto" w:sz="4" w:space="0"/>
            </w:tcBorders>
            <w:vAlign w:val="center"/>
          </w:tcPr>
          <w:p>
            <w:pPr>
              <w:widowControl/>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2017.10</w:t>
            </w:r>
          </w:p>
        </w:tc>
        <w:tc>
          <w:tcPr>
            <w:tcW w:w="360" w:type="pct"/>
            <w:tcBorders>
              <w:top w:val="dashed" w:color="000000" w:sz="4" w:space="0"/>
              <w:left w:val="dashed" w:color="auto" w:sz="4" w:space="0"/>
              <w:bottom w:val="dashed" w:color="000000" w:sz="4" w:space="0"/>
              <w:right w:val="dashed" w:color="auto" w:sz="4" w:space="0"/>
            </w:tcBorders>
            <w:vAlign w:val="center"/>
          </w:tcPr>
          <w:p>
            <w:pPr>
              <w:widowControl/>
              <w:jc w:val="center"/>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kern w:val="0"/>
                <w:sz w:val="18"/>
                <w:szCs w:val="18"/>
                <w:highlight w:val="none"/>
                <w14:textFill>
                  <w14:solidFill>
                    <w14:schemeClr w14:val="tx1"/>
                  </w14:solidFill>
                </w14:textFill>
              </w:rPr>
              <w:t>不适用</w:t>
            </w:r>
          </w:p>
        </w:tc>
        <w:tc>
          <w:tcPr>
            <w:tcW w:w="302" w:type="pct"/>
            <w:tcBorders>
              <w:top w:val="dashed" w:color="000000" w:sz="4" w:space="0"/>
              <w:left w:val="dashed" w:color="auto" w:sz="4" w:space="0"/>
              <w:bottom w:val="dashed" w:color="000000" w:sz="4" w:space="0"/>
              <w:right w:val="dashed" w:color="auto" w:sz="4" w:space="0"/>
            </w:tcBorders>
            <w:vAlign w:val="center"/>
          </w:tcPr>
          <w:p>
            <w:pPr>
              <w:widowControl/>
              <w:jc w:val="center"/>
              <w:rPr>
                <w:rFonts w:hint="eastAsia" w:ascii="宋体" w:hAnsi="宋体" w:eastAsia="宋体" w:cs="宋体"/>
                <w:color w:val="000000" w:themeColor="text1"/>
                <w:kern w:val="0"/>
                <w:sz w:val="18"/>
                <w:szCs w:val="18"/>
                <w:highlight w:val="none"/>
                <w14:textFill>
                  <w14:solidFill>
                    <w14:schemeClr w14:val="tx1"/>
                  </w14:solidFill>
                </w14:textFill>
              </w:rPr>
            </w:pPr>
          </w:p>
        </w:tc>
        <w:tc>
          <w:tcPr>
            <w:tcW w:w="310" w:type="pct"/>
            <w:tcBorders>
              <w:top w:val="dashed" w:color="000000" w:sz="4" w:space="0"/>
              <w:left w:val="dashed" w:color="auto" w:sz="4" w:space="0"/>
              <w:bottom w:val="dashed" w:color="000000" w:sz="4" w:space="0"/>
              <w:right w:val="nil"/>
            </w:tcBorders>
            <w:vAlign w:val="center"/>
          </w:tcPr>
          <w:p>
            <w:pPr>
              <w:widowControl/>
              <w:jc w:val="center"/>
              <w:rPr>
                <w:rFonts w:hint="eastAsia" w:ascii="宋体" w:hAnsi="宋体" w:eastAsia="宋体" w:cs="宋体"/>
                <w:color w:val="000000" w:themeColor="text1"/>
                <w:kern w:val="0"/>
                <w:sz w:val="18"/>
                <w:szCs w:val="1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33" w:type="pct"/>
            <w:tcBorders>
              <w:top w:val="dashed" w:color="000000" w:sz="4" w:space="0"/>
              <w:left w:val="nil"/>
              <w:bottom w:val="dashed" w:color="000000" w:sz="4" w:space="0"/>
              <w:right w:val="dashed" w:color="auto" w:sz="4" w:space="0"/>
            </w:tcBorders>
            <w:vAlign w:val="center"/>
          </w:tcPr>
          <w:p>
            <w:pPr>
              <w:widowControl/>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医药研发中心项目</w:t>
            </w:r>
          </w:p>
        </w:tc>
        <w:tc>
          <w:tcPr>
            <w:tcW w:w="307" w:type="pct"/>
            <w:tcBorders>
              <w:top w:val="dashed" w:color="000000" w:sz="4" w:space="0"/>
              <w:left w:val="dashed" w:color="auto" w:sz="4" w:space="0"/>
              <w:bottom w:val="dashed" w:color="000000" w:sz="4" w:space="0"/>
              <w:right w:val="dashed" w:color="auto" w:sz="4" w:space="0"/>
            </w:tcBorders>
            <w:vAlign w:val="center"/>
          </w:tcPr>
          <w:p>
            <w:pPr>
              <w:widowControl/>
              <w:jc w:val="center"/>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否</w:t>
            </w:r>
          </w:p>
        </w:tc>
        <w:tc>
          <w:tcPr>
            <w:tcW w:w="378" w:type="pct"/>
            <w:tcBorders>
              <w:top w:val="dashed" w:color="000000" w:sz="4" w:space="0"/>
              <w:left w:val="dashed" w:color="auto" w:sz="4" w:space="0"/>
              <w:bottom w:val="dashed" w:color="000000" w:sz="4" w:space="0"/>
              <w:right w:val="dashed" w:color="auto" w:sz="4" w:space="0"/>
            </w:tcBorders>
            <w:vAlign w:val="center"/>
          </w:tcPr>
          <w:p>
            <w:pPr>
              <w:widowControl/>
              <w:jc w:val="right"/>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10,600.00</w:t>
            </w:r>
          </w:p>
        </w:tc>
        <w:tc>
          <w:tcPr>
            <w:tcW w:w="373" w:type="pct"/>
            <w:tcBorders>
              <w:top w:val="dashed" w:color="000000" w:sz="4" w:space="0"/>
              <w:left w:val="dashed" w:color="auto" w:sz="4" w:space="0"/>
              <w:bottom w:val="dashed" w:color="000000" w:sz="4" w:space="0"/>
              <w:right w:val="dashed" w:color="auto" w:sz="4" w:space="0"/>
            </w:tcBorders>
            <w:vAlign w:val="center"/>
          </w:tcPr>
          <w:p>
            <w:pPr>
              <w:widowControl/>
              <w:jc w:val="right"/>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10,600.00</w:t>
            </w:r>
          </w:p>
        </w:tc>
        <w:tc>
          <w:tcPr>
            <w:tcW w:w="307" w:type="pct"/>
            <w:tcBorders>
              <w:top w:val="dashed" w:color="000000" w:sz="4" w:space="0"/>
              <w:left w:val="dashed" w:color="auto" w:sz="4" w:space="0"/>
              <w:bottom w:val="dashed" w:color="000000" w:sz="4" w:space="0"/>
              <w:right w:val="dashed" w:color="auto" w:sz="4" w:space="0"/>
            </w:tcBorders>
            <w:vAlign w:val="center"/>
          </w:tcPr>
          <w:p>
            <w:pPr>
              <w:widowControl/>
              <w:jc w:val="center"/>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不适用</w:t>
            </w:r>
          </w:p>
        </w:tc>
        <w:tc>
          <w:tcPr>
            <w:tcW w:w="322" w:type="pct"/>
            <w:tcBorders>
              <w:top w:val="dashed" w:color="000000" w:sz="4" w:space="0"/>
              <w:left w:val="dashed" w:color="auto" w:sz="4" w:space="0"/>
              <w:bottom w:val="dashed" w:color="000000" w:sz="4" w:space="0"/>
              <w:right w:val="dashed" w:color="auto" w:sz="4" w:space="0"/>
            </w:tcBorders>
            <w:vAlign w:val="center"/>
          </w:tcPr>
          <w:p>
            <w:pPr>
              <w:widowControl/>
              <w:jc w:val="center"/>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kern w:val="0"/>
                <w:sz w:val="18"/>
                <w:szCs w:val="18"/>
                <w:highlight w:val="none"/>
                <w14:textFill>
                  <w14:solidFill>
                    <w14:schemeClr w14:val="tx1"/>
                  </w14:solidFill>
                </w14:textFill>
              </w:rPr>
              <w:t>不适用</w:t>
            </w:r>
          </w:p>
        </w:tc>
        <w:tc>
          <w:tcPr>
            <w:tcW w:w="389" w:type="pct"/>
            <w:tcBorders>
              <w:top w:val="dashed" w:color="000000" w:sz="4" w:space="0"/>
              <w:left w:val="dashed" w:color="auto" w:sz="4" w:space="0"/>
              <w:bottom w:val="dashed" w:color="000000" w:sz="4" w:space="0"/>
              <w:right w:val="dashed" w:color="auto" w:sz="4" w:space="0"/>
            </w:tcBorders>
            <w:vAlign w:val="center"/>
          </w:tcPr>
          <w:p>
            <w:pPr>
              <w:widowControl/>
              <w:jc w:val="right"/>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11,100.62</w:t>
            </w:r>
          </w:p>
        </w:tc>
        <w:tc>
          <w:tcPr>
            <w:tcW w:w="450" w:type="pct"/>
            <w:tcBorders>
              <w:top w:val="dashed" w:color="000000" w:sz="4" w:space="0"/>
              <w:left w:val="dashed" w:color="auto" w:sz="4" w:space="0"/>
              <w:bottom w:val="dashed" w:color="000000" w:sz="4" w:space="0"/>
              <w:right w:val="dashed" w:color="auto" w:sz="4" w:space="0"/>
            </w:tcBorders>
            <w:vAlign w:val="center"/>
          </w:tcPr>
          <w:p>
            <w:pPr>
              <w:widowControl/>
              <w:jc w:val="center"/>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不适用</w:t>
            </w:r>
          </w:p>
        </w:tc>
        <w:tc>
          <w:tcPr>
            <w:tcW w:w="305" w:type="pct"/>
            <w:tcBorders>
              <w:top w:val="dashed" w:color="000000" w:sz="4" w:space="0"/>
              <w:left w:val="dashed" w:color="auto" w:sz="4" w:space="0"/>
              <w:bottom w:val="dashed" w:color="000000" w:sz="4" w:space="0"/>
              <w:right w:val="dashed" w:color="auto" w:sz="4" w:space="0"/>
            </w:tcBorders>
            <w:vAlign w:val="center"/>
          </w:tcPr>
          <w:p>
            <w:pPr>
              <w:widowControl/>
              <w:jc w:val="center"/>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不适用</w:t>
            </w:r>
          </w:p>
        </w:tc>
        <w:tc>
          <w:tcPr>
            <w:tcW w:w="358" w:type="pct"/>
            <w:tcBorders>
              <w:top w:val="dashed" w:color="000000" w:sz="4" w:space="0"/>
              <w:left w:val="dashed" w:color="auto" w:sz="4" w:space="0"/>
              <w:bottom w:val="dashed" w:color="000000" w:sz="4" w:space="0"/>
              <w:right w:val="dashed" w:color="auto" w:sz="4" w:space="0"/>
            </w:tcBorders>
            <w:vAlign w:val="center"/>
          </w:tcPr>
          <w:p>
            <w:pPr>
              <w:widowControl/>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2019.12</w:t>
            </w:r>
          </w:p>
        </w:tc>
        <w:tc>
          <w:tcPr>
            <w:tcW w:w="360" w:type="pct"/>
            <w:tcBorders>
              <w:top w:val="dashed" w:color="000000" w:sz="4" w:space="0"/>
              <w:left w:val="dashed" w:color="auto" w:sz="4" w:space="0"/>
              <w:bottom w:val="dashed" w:color="000000" w:sz="4" w:space="0"/>
              <w:right w:val="dashed" w:color="auto" w:sz="4" w:space="0"/>
            </w:tcBorders>
            <w:vAlign w:val="center"/>
          </w:tcPr>
          <w:p>
            <w:pPr>
              <w:widowControl/>
              <w:jc w:val="center"/>
              <w:rPr>
                <w:rFonts w:hint="eastAsia" w:ascii="宋体" w:hAnsi="宋体" w:eastAsia="宋体" w:cs="宋体"/>
                <w:color w:val="000000" w:themeColor="text1"/>
                <w:kern w:val="0"/>
                <w:sz w:val="18"/>
                <w:szCs w:val="18"/>
                <w:highlight w:val="none"/>
                <w14:textFill>
                  <w14:solidFill>
                    <w14:schemeClr w14:val="tx1"/>
                  </w14:solidFill>
                </w14:textFill>
              </w:rPr>
            </w:pPr>
          </w:p>
        </w:tc>
        <w:tc>
          <w:tcPr>
            <w:tcW w:w="302" w:type="pct"/>
            <w:tcBorders>
              <w:top w:val="dashed" w:color="000000" w:sz="4" w:space="0"/>
              <w:left w:val="dashed" w:color="auto" w:sz="4" w:space="0"/>
              <w:bottom w:val="dashed" w:color="000000" w:sz="4" w:space="0"/>
              <w:right w:val="dashed" w:color="auto" w:sz="4" w:space="0"/>
            </w:tcBorders>
            <w:vAlign w:val="center"/>
          </w:tcPr>
          <w:p>
            <w:pPr>
              <w:widowControl/>
              <w:jc w:val="center"/>
              <w:rPr>
                <w:rFonts w:hint="eastAsia" w:ascii="宋体" w:hAnsi="宋体" w:eastAsia="宋体" w:cs="宋体"/>
                <w:color w:val="000000" w:themeColor="text1"/>
                <w:kern w:val="0"/>
                <w:sz w:val="18"/>
                <w:szCs w:val="18"/>
                <w:highlight w:val="none"/>
                <w14:textFill>
                  <w14:solidFill>
                    <w14:schemeClr w14:val="tx1"/>
                  </w14:solidFill>
                </w14:textFill>
              </w:rPr>
            </w:pPr>
          </w:p>
        </w:tc>
        <w:tc>
          <w:tcPr>
            <w:tcW w:w="310" w:type="pct"/>
            <w:tcBorders>
              <w:top w:val="dashed" w:color="000000" w:sz="4" w:space="0"/>
              <w:left w:val="dashed" w:color="auto" w:sz="4" w:space="0"/>
              <w:bottom w:val="dashed" w:color="000000" w:sz="4" w:space="0"/>
              <w:right w:val="nil"/>
            </w:tcBorders>
            <w:vAlign w:val="center"/>
          </w:tcPr>
          <w:p>
            <w:pPr>
              <w:widowControl/>
              <w:jc w:val="center"/>
              <w:rPr>
                <w:rFonts w:hint="eastAsia" w:ascii="宋体" w:hAnsi="宋体" w:eastAsia="宋体" w:cs="宋体"/>
                <w:color w:val="000000" w:themeColor="text1"/>
                <w:kern w:val="0"/>
                <w:sz w:val="18"/>
                <w:szCs w:val="1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33" w:type="pct"/>
            <w:tcBorders>
              <w:top w:val="dashed" w:color="000000" w:sz="4" w:space="0"/>
              <w:left w:val="nil"/>
              <w:bottom w:val="dashed" w:color="000000" w:sz="4" w:space="0"/>
              <w:right w:val="dashed" w:color="auto" w:sz="4" w:space="0"/>
            </w:tcBorders>
            <w:vAlign w:val="center"/>
          </w:tcPr>
          <w:p>
            <w:pPr>
              <w:widowControl/>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补充医药业务营运资金</w:t>
            </w:r>
          </w:p>
        </w:tc>
        <w:tc>
          <w:tcPr>
            <w:tcW w:w="307" w:type="pct"/>
            <w:tcBorders>
              <w:top w:val="dashed" w:color="000000" w:sz="4" w:space="0"/>
              <w:left w:val="dashed" w:color="auto" w:sz="4" w:space="0"/>
              <w:bottom w:val="dashed" w:color="000000" w:sz="4" w:space="0"/>
              <w:right w:val="dashed" w:color="auto" w:sz="4" w:space="0"/>
            </w:tcBorders>
            <w:vAlign w:val="center"/>
          </w:tcPr>
          <w:p>
            <w:pPr>
              <w:widowControl/>
              <w:jc w:val="center"/>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否</w:t>
            </w:r>
          </w:p>
        </w:tc>
        <w:tc>
          <w:tcPr>
            <w:tcW w:w="378" w:type="pct"/>
            <w:tcBorders>
              <w:top w:val="dashed" w:color="000000" w:sz="4" w:space="0"/>
              <w:left w:val="dashed" w:color="auto" w:sz="4" w:space="0"/>
              <w:bottom w:val="dashed" w:color="000000" w:sz="4" w:space="0"/>
              <w:right w:val="dashed" w:color="auto" w:sz="4" w:space="0"/>
            </w:tcBorders>
            <w:vAlign w:val="center"/>
          </w:tcPr>
          <w:p>
            <w:pPr>
              <w:widowControl/>
              <w:jc w:val="right"/>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10,000.00</w:t>
            </w:r>
          </w:p>
        </w:tc>
        <w:tc>
          <w:tcPr>
            <w:tcW w:w="373" w:type="pct"/>
            <w:tcBorders>
              <w:top w:val="dashed" w:color="000000" w:sz="4" w:space="0"/>
              <w:left w:val="dashed" w:color="auto" w:sz="4" w:space="0"/>
              <w:bottom w:val="dashed" w:color="000000" w:sz="4" w:space="0"/>
              <w:right w:val="dashed" w:color="auto" w:sz="4" w:space="0"/>
            </w:tcBorders>
            <w:vAlign w:val="center"/>
          </w:tcPr>
          <w:p>
            <w:pPr>
              <w:widowControl/>
              <w:jc w:val="right"/>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8,848.05</w:t>
            </w:r>
          </w:p>
        </w:tc>
        <w:tc>
          <w:tcPr>
            <w:tcW w:w="307" w:type="pct"/>
            <w:tcBorders>
              <w:top w:val="dashed" w:color="000000" w:sz="4" w:space="0"/>
              <w:left w:val="dashed" w:color="auto" w:sz="4" w:space="0"/>
              <w:bottom w:val="dashed" w:color="000000" w:sz="4" w:space="0"/>
              <w:right w:val="dashed" w:color="auto" w:sz="4" w:space="0"/>
            </w:tcBorders>
            <w:vAlign w:val="center"/>
          </w:tcPr>
          <w:p>
            <w:pPr>
              <w:widowControl/>
              <w:jc w:val="center"/>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不适用</w:t>
            </w:r>
          </w:p>
        </w:tc>
        <w:tc>
          <w:tcPr>
            <w:tcW w:w="322" w:type="pct"/>
            <w:tcBorders>
              <w:top w:val="dashed" w:color="000000" w:sz="4" w:space="0"/>
              <w:left w:val="dashed" w:color="auto" w:sz="4" w:space="0"/>
              <w:bottom w:val="dashed" w:color="000000" w:sz="4" w:space="0"/>
              <w:right w:val="dashed" w:color="auto" w:sz="4" w:space="0"/>
            </w:tcBorders>
            <w:vAlign w:val="center"/>
          </w:tcPr>
          <w:p>
            <w:pPr>
              <w:widowControl/>
              <w:jc w:val="center"/>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kern w:val="0"/>
                <w:sz w:val="18"/>
                <w:szCs w:val="18"/>
                <w:highlight w:val="none"/>
                <w14:textFill>
                  <w14:solidFill>
                    <w14:schemeClr w14:val="tx1"/>
                  </w14:solidFill>
                </w14:textFill>
              </w:rPr>
              <w:t>不适用</w:t>
            </w:r>
          </w:p>
        </w:tc>
        <w:tc>
          <w:tcPr>
            <w:tcW w:w="389" w:type="pct"/>
            <w:tcBorders>
              <w:top w:val="dashed" w:color="000000" w:sz="4" w:space="0"/>
              <w:left w:val="dashed" w:color="auto" w:sz="4" w:space="0"/>
              <w:bottom w:val="dashed" w:color="000000" w:sz="4" w:space="0"/>
              <w:right w:val="dashed" w:color="auto" w:sz="4" w:space="0"/>
            </w:tcBorders>
            <w:vAlign w:val="center"/>
          </w:tcPr>
          <w:p>
            <w:pPr>
              <w:widowControl/>
              <w:jc w:val="right"/>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8,890.70</w:t>
            </w:r>
          </w:p>
        </w:tc>
        <w:tc>
          <w:tcPr>
            <w:tcW w:w="450" w:type="pct"/>
            <w:tcBorders>
              <w:top w:val="dashed" w:color="000000" w:sz="4" w:space="0"/>
              <w:left w:val="dashed" w:color="auto" w:sz="4" w:space="0"/>
              <w:bottom w:val="dashed" w:color="000000" w:sz="4" w:space="0"/>
              <w:right w:val="dashed" w:color="auto" w:sz="4" w:space="0"/>
            </w:tcBorders>
            <w:vAlign w:val="center"/>
          </w:tcPr>
          <w:p>
            <w:pPr>
              <w:widowControl/>
              <w:jc w:val="center"/>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不适用</w:t>
            </w:r>
          </w:p>
        </w:tc>
        <w:tc>
          <w:tcPr>
            <w:tcW w:w="305" w:type="pct"/>
            <w:tcBorders>
              <w:top w:val="dashed" w:color="000000" w:sz="4" w:space="0"/>
              <w:left w:val="dashed" w:color="auto" w:sz="4" w:space="0"/>
              <w:bottom w:val="dashed" w:color="000000" w:sz="4" w:space="0"/>
              <w:right w:val="dashed" w:color="auto" w:sz="4" w:space="0"/>
            </w:tcBorders>
            <w:vAlign w:val="center"/>
          </w:tcPr>
          <w:p>
            <w:pPr>
              <w:widowControl/>
              <w:jc w:val="center"/>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不适用</w:t>
            </w:r>
          </w:p>
        </w:tc>
        <w:tc>
          <w:tcPr>
            <w:tcW w:w="358" w:type="pct"/>
            <w:tcBorders>
              <w:top w:val="dashed" w:color="000000" w:sz="4" w:space="0"/>
              <w:left w:val="dashed" w:color="auto" w:sz="4" w:space="0"/>
              <w:bottom w:val="dashed" w:color="000000" w:sz="4" w:space="0"/>
              <w:right w:val="dashed" w:color="auto" w:sz="4" w:space="0"/>
            </w:tcBorders>
            <w:vAlign w:val="center"/>
          </w:tcPr>
          <w:p>
            <w:pPr>
              <w:widowControl/>
              <w:jc w:val="center"/>
              <w:rPr>
                <w:rFonts w:hint="eastAsia" w:ascii="宋体" w:hAnsi="宋体" w:eastAsia="宋体" w:cs="宋体"/>
                <w:color w:val="000000" w:themeColor="text1"/>
                <w:sz w:val="18"/>
                <w:szCs w:val="18"/>
                <w:highlight w:val="none"/>
                <w14:textFill>
                  <w14:solidFill>
                    <w14:schemeClr w14:val="tx1"/>
                  </w14:solidFill>
                </w14:textFill>
              </w:rPr>
            </w:pPr>
          </w:p>
        </w:tc>
        <w:tc>
          <w:tcPr>
            <w:tcW w:w="360" w:type="pct"/>
            <w:tcBorders>
              <w:top w:val="dashed" w:color="000000" w:sz="4" w:space="0"/>
              <w:left w:val="dashed" w:color="auto" w:sz="4" w:space="0"/>
              <w:bottom w:val="dashed" w:color="000000" w:sz="4" w:space="0"/>
              <w:right w:val="dashed" w:color="auto" w:sz="4" w:space="0"/>
            </w:tcBorders>
            <w:vAlign w:val="center"/>
          </w:tcPr>
          <w:p>
            <w:pPr>
              <w:widowControl/>
              <w:jc w:val="center"/>
              <w:rPr>
                <w:rFonts w:hint="eastAsia" w:ascii="宋体" w:hAnsi="宋体" w:eastAsia="宋体" w:cs="宋体"/>
                <w:color w:val="000000" w:themeColor="text1"/>
                <w:kern w:val="0"/>
                <w:sz w:val="18"/>
                <w:szCs w:val="18"/>
                <w:highlight w:val="none"/>
                <w14:textFill>
                  <w14:solidFill>
                    <w14:schemeClr w14:val="tx1"/>
                  </w14:solidFill>
                </w14:textFill>
              </w:rPr>
            </w:pPr>
          </w:p>
        </w:tc>
        <w:tc>
          <w:tcPr>
            <w:tcW w:w="302" w:type="pct"/>
            <w:tcBorders>
              <w:top w:val="dashed" w:color="000000" w:sz="4" w:space="0"/>
              <w:left w:val="dashed" w:color="auto" w:sz="4" w:space="0"/>
              <w:bottom w:val="dashed" w:color="000000" w:sz="4" w:space="0"/>
              <w:right w:val="dashed" w:color="auto" w:sz="4" w:space="0"/>
            </w:tcBorders>
            <w:vAlign w:val="center"/>
          </w:tcPr>
          <w:p>
            <w:pPr>
              <w:widowControl/>
              <w:jc w:val="center"/>
              <w:rPr>
                <w:rFonts w:hint="eastAsia" w:ascii="宋体" w:hAnsi="宋体" w:eastAsia="宋体" w:cs="宋体"/>
                <w:color w:val="000000" w:themeColor="text1"/>
                <w:kern w:val="0"/>
                <w:sz w:val="18"/>
                <w:szCs w:val="18"/>
                <w:highlight w:val="none"/>
                <w14:textFill>
                  <w14:solidFill>
                    <w14:schemeClr w14:val="tx1"/>
                  </w14:solidFill>
                </w14:textFill>
              </w:rPr>
            </w:pPr>
          </w:p>
        </w:tc>
        <w:tc>
          <w:tcPr>
            <w:tcW w:w="310" w:type="pct"/>
            <w:tcBorders>
              <w:top w:val="dashed" w:color="000000" w:sz="4" w:space="0"/>
              <w:left w:val="dashed" w:color="auto" w:sz="4" w:space="0"/>
              <w:bottom w:val="dashed" w:color="000000" w:sz="4" w:space="0"/>
              <w:right w:val="nil"/>
            </w:tcBorders>
            <w:vAlign w:val="center"/>
          </w:tcPr>
          <w:p>
            <w:pPr>
              <w:widowControl/>
              <w:jc w:val="center"/>
              <w:rPr>
                <w:rFonts w:hint="eastAsia" w:ascii="宋体" w:hAnsi="宋体" w:eastAsia="宋体" w:cs="宋体"/>
                <w:color w:val="000000" w:themeColor="text1"/>
                <w:kern w:val="0"/>
                <w:sz w:val="18"/>
                <w:szCs w:val="1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33" w:type="pct"/>
            <w:tcBorders>
              <w:top w:val="dashed" w:color="000000" w:sz="4" w:space="0"/>
              <w:left w:val="nil"/>
              <w:bottom w:val="dashed" w:color="000000" w:sz="4" w:space="0"/>
              <w:right w:val="dashed" w:color="auto" w:sz="4" w:space="0"/>
            </w:tcBorders>
            <w:vAlign w:val="center"/>
          </w:tcPr>
          <w:p>
            <w:pPr>
              <w:widowControl/>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抗肿瘤1类新药 YS001的研发项目</w:t>
            </w:r>
          </w:p>
        </w:tc>
        <w:tc>
          <w:tcPr>
            <w:tcW w:w="307" w:type="pct"/>
            <w:tcBorders>
              <w:top w:val="dashed" w:color="000000" w:sz="4" w:space="0"/>
              <w:left w:val="dashed" w:color="auto" w:sz="4" w:space="0"/>
              <w:bottom w:val="dashed" w:color="000000" w:sz="4" w:space="0"/>
              <w:right w:val="dashed" w:color="auto" w:sz="4" w:space="0"/>
            </w:tcBorders>
            <w:vAlign w:val="center"/>
          </w:tcPr>
          <w:p>
            <w:pPr>
              <w:widowControl/>
              <w:jc w:val="center"/>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是</w:t>
            </w:r>
          </w:p>
        </w:tc>
        <w:tc>
          <w:tcPr>
            <w:tcW w:w="378" w:type="pct"/>
            <w:tcBorders>
              <w:top w:val="dashed" w:color="000000" w:sz="4" w:space="0"/>
              <w:left w:val="dashed" w:color="auto" w:sz="4" w:space="0"/>
              <w:bottom w:val="dashed" w:color="000000" w:sz="4" w:space="0"/>
              <w:right w:val="dashed" w:color="auto" w:sz="4" w:space="0"/>
            </w:tcBorders>
            <w:vAlign w:val="center"/>
          </w:tcPr>
          <w:p>
            <w:pPr>
              <w:widowControl/>
              <w:jc w:val="right"/>
              <w:rPr>
                <w:rFonts w:hint="eastAsia" w:ascii="宋体" w:hAnsi="宋体" w:eastAsia="宋体" w:cs="宋体"/>
                <w:color w:val="000000" w:themeColor="text1"/>
                <w:sz w:val="18"/>
                <w:szCs w:val="18"/>
                <w:highlight w:val="none"/>
                <w14:textFill>
                  <w14:solidFill>
                    <w14:schemeClr w14:val="tx1"/>
                  </w14:solidFill>
                </w14:textFill>
              </w:rPr>
            </w:pPr>
          </w:p>
        </w:tc>
        <w:tc>
          <w:tcPr>
            <w:tcW w:w="373" w:type="pct"/>
            <w:tcBorders>
              <w:top w:val="dashed" w:color="000000" w:sz="4" w:space="0"/>
              <w:left w:val="dashed" w:color="auto" w:sz="4" w:space="0"/>
              <w:bottom w:val="dashed" w:color="000000" w:sz="4" w:space="0"/>
              <w:right w:val="dashed" w:color="auto" w:sz="4" w:space="0"/>
            </w:tcBorders>
            <w:vAlign w:val="center"/>
          </w:tcPr>
          <w:p>
            <w:pPr>
              <w:widowControl/>
              <w:jc w:val="right"/>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3,500.00</w:t>
            </w:r>
          </w:p>
        </w:tc>
        <w:tc>
          <w:tcPr>
            <w:tcW w:w="307" w:type="pct"/>
            <w:tcBorders>
              <w:top w:val="dashed" w:color="000000" w:sz="4" w:space="0"/>
              <w:left w:val="dashed" w:color="auto" w:sz="4" w:space="0"/>
              <w:bottom w:val="dashed" w:color="000000" w:sz="4" w:space="0"/>
              <w:right w:val="dashed" w:color="auto" w:sz="4" w:space="0"/>
            </w:tcBorders>
            <w:vAlign w:val="center"/>
          </w:tcPr>
          <w:p>
            <w:pPr>
              <w:widowControl/>
              <w:jc w:val="center"/>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kern w:val="0"/>
                <w:sz w:val="18"/>
                <w:szCs w:val="18"/>
                <w:highlight w:val="none"/>
                <w14:textFill>
                  <w14:solidFill>
                    <w14:schemeClr w14:val="tx1"/>
                  </w14:solidFill>
                </w14:textFill>
              </w:rPr>
              <w:t>不适用</w:t>
            </w:r>
          </w:p>
        </w:tc>
        <w:tc>
          <w:tcPr>
            <w:tcW w:w="322" w:type="pct"/>
            <w:tcBorders>
              <w:top w:val="dashed" w:color="000000" w:sz="4" w:space="0"/>
              <w:left w:val="dashed" w:color="auto" w:sz="4" w:space="0"/>
              <w:bottom w:val="dashed" w:color="000000" w:sz="4" w:space="0"/>
              <w:right w:val="dashed" w:color="auto" w:sz="4" w:space="0"/>
            </w:tcBorders>
            <w:vAlign w:val="center"/>
          </w:tcPr>
          <w:p>
            <w:pPr>
              <w:widowControl/>
              <w:jc w:val="right"/>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187.11</w:t>
            </w:r>
          </w:p>
        </w:tc>
        <w:tc>
          <w:tcPr>
            <w:tcW w:w="389" w:type="pct"/>
            <w:tcBorders>
              <w:top w:val="dashed" w:color="000000" w:sz="4" w:space="0"/>
              <w:left w:val="dashed" w:color="auto" w:sz="4" w:space="0"/>
              <w:bottom w:val="dashed" w:color="000000" w:sz="4" w:space="0"/>
              <w:right w:val="dashed" w:color="auto" w:sz="4" w:space="0"/>
            </w:tcBorders>
            <w:vAlign w:val="center"/>
          </w:tcPr>
          <w:p>
            <w:pPr>
              <w:widowControl/>
              <w:jc w:val="right"/>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2,540.87</w:t>
            </w:r>
          </w:p>
        </w:tc>
        <w:tc>
          <w:tcPr>
            <w:tcW w:w="450" w:type="pct"/>
            <w:tcBorders>
              <w:top w:val="dashed" w:color="000000" w:sz="4" w:space="0"/>
              <w:left w:val="dashed" w:color="auto" w:sz="4" w:space="0"/>
              <w:bottom w:val="dashed" w:color="000000" w:sz="4" w:space="0"/>
              <w:right w:val="dashed" w:color="auto" w:sz="4" w:space="0"/>
            </w:tcBorders>
            <w:vAlign w:val="center"/>
          </w:tcPr>
          <w:p>
            <w:pPr>
              <w:widowControl/>
              <w:jc w:val="center"/>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kern w:val="0"/>
                <w:sz w:val="18"/>
                <w:szCs w:val="18"/>
                <w:highlight w:val="none"/>
                <w14:textFill>
                  <w14:solidFill>
                    <w14:schemeClr w14:val="tx1"/>
                  </w14:solidFill>
                </w14:textFill>
              </w:rPr>
              <w:t>不适用</w:t>
            </w:r>
          </w:p>
        </w:tc>
        <w:tc>
          <w:tcPr>
            <w:tcW w:w="305" w:type="pct"/>
            <w:tcBorders>
              <w:top w:val="dashed" w:color="000000" w:sz="4" w:space="0"/>
              <w:left w:val="dashed" w:color="auto" w:sz="4" w:space="0"/>
              <w:bottom w:val="dashed" w:color="000000" w:sz="4" w:space="0"/>
              <w:right w:val="dashed" w:color="auto" w:sz="4" w:space="0"/>
            </w:tcBorders>
            <w:vAlign w:val="center"/>
          </w:tcPr>
          <w:p>
            <w:pPr>
              <w:widowControl/>
              <w:jc w:val="center"/>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不适用</w:t>
            </w:r>
          </w:p>
        </w:tc>
        <w:tc>
          <w:tcPr>
            <w:tcW w:w="358" w:type="pct"/>
            <w:tcBorders>
              <w:top w:val="dashed" w:color="000000" w:sz="4" w:space="0"/>
              <w:left w:val="dashed" w:color="auto" w:sz="4" w:space="0"/>
              <w:bottom w:val="dashed" w:color="000000" w:sz="4" w:space="0"/>
              <w:right w:val="dashed" w:color="auto" w:sz="4" w:space="0"/>
            </w:tcBorders>
            <w:vAlign w:val="center"/>
          </w:tcPr>
          <w:p>
            <w:pPr>
              <w:widowControl/>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sz w:val="18"/>
                <w:szCs w:val="18"/>
                <w:highlight w:val="none"/>
              </w:rPr>
              <w:t>2026.12</w:t>
            </w:r>
          </w:p>
        </w:tc>
        <w:tc>
          <w:tcPr>
            <w:tcW w:w="360" w:type="pct"/>
            <w:tcBorders>
              <w:top w:val="dashed" w:color="000000" w:sz="4" w:space="0"/>
              <w:left w:val="dashed" w:color="auto" w:sz="4" w:space="0"/>
              <w:bottom w:val="dashed" w:color="000000" w:sz="4" w:space="0"/>
              <w:right w:val="dashed" w:color="auto" w:sz="4" w:space="0"/>
            </w:tcBorders>
            <w:vAlign w:val="center"/>
          </w:tcPr>
          <w:p>
            <w:pPr>
              <w:widowControl/>
              <w:jc w:val="center"/>
              <w:rPr>
                <w:rFonts w:hint="eastAsia" w:ascii="宋体" w:hAnsi="宋体" w:eastAsia="宋体" w:cs="宋体"/>
                <w:color w:val="000000" w:themeColor="text1"/>
                <w:kern w:val="0"/>
                <w:sz w:val="18"/>
                <w:szCs w:val="18"/>
                <w:highlight w:val="none"/>
                <w14:textFill>
                  <w14:solidFill>
                    <w14:schemeClr w14:val="tx1"/>
                  </w14:solidFill>
                </w14:textFill>
              </w:rPr>
            </w:pPr>
          </w:p>
        </w:tc>
        <w:tc>
          <w:tcPr>
            <w:tcW w:w="302" w:type="pct"/>
            <w:tcBorders>
              <w:top w:val="dashed" w:color="000000" w:sz="4" w:space="0"/>
              <w:left w:val="dashed" w:color="auto" w:sz="4" w:space="0"/>
              <w:bottom w:val="dashed" w:color="000000" w:sz="4" w:space="0"/>
              <w:right w:val="dashed" w:color="auto" w:sz="4" w:space="0"/>
            </w:tcBorders>
            <w:vAlign w:val="center"/>
          </w:tcPr>
          <w:p>
            <w:pPr>
              <w:widowControl/>
              <w:jc w:val="center"/>
              <w:rPr>
                <w:rFonts w:hint="eastAsia" w:ascii="宋体" w:hAnsi="宋体" w:eastAsia="宋体" w:cs="宋体"/>
                <w:color w:val="000000" w:themeColor="text1"/>
                <w:kern w:val="0"/>
                <w:sz w:val="18"/>
                <w:szCs w:val="18"/>
                <w:highlight w:val="none"/>
                <w14:textFill>
                  <w14:solidFill>
                    <w14:schemeClr w14:val="tx1"/>
                  </w14:solidFill>
                </w14:textFill>
              </w:rPr>
            </w:pPr>
          </w:p>
        </w:tc>
        <w:tc>
          <w:tcPr>
            <w:tcW w:w="310" w:type="pct"/>
            <w:tcBorders>
              <w:top w:val="dashed" w:color="000000" w:sz="4" w:space="0"/>
              <w:left w:val="dashed" w:color="auto" w:sz="4" w:space="0"/>
              <w:bottom w:val="dashed" w:color="000000" w:sz="4" w:space="0"/>
              <w:right w:val="nil"/>
            </w:tcBorders>
            <w:vAlign w:val="center"/>
          </w:tcPr>
          <w:p>
            <w:pPr>
              <w:widowControl/>
              <w:jc w:val="center"/>
              <w:rPr>
                <w:rFonts w:hint="eastAsia" w:ascii="宋体" w:hAnsi="宋体" w:eastAsia="宋体" w:cs="宋体"/>
                <w:color w:val="000000" w:themeColor="text1"/>
                <w:kern w:val="0"/>
                <w:sz w:val="18"/>
                <w:szCs w:val="1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33" w:type="pct"/>
            <w:tcBorders>
              <w:top w:val="dashed" w:color="000000" w:sz="4" w:space="0"/>
              <w:left w:val="nil"/>
              <w:bottom w:val="dashed" w:color="000000" w:sz="4" w:space="0"/>
              <w:right w:val="dashed" w:color="auto" w:sz="4" w:space="0"/>
            </w:tcBorders>
            <w:vAlign w:val="center"/>
          </w:tcPr>
          <w:p>
            <w:pPr>
              <w:widowControl/>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西洛他唑等上市化学仿制药的一致性评价项目</w:t>
            </w:r>
          </w:p>
        </w:tc>
        <w:tc>
          <w:tcPr>
            <w:tcW w:w="307" w:type="pct"/>
            <w:tcBorders>
              <w:top w:val="dashed" w:color="000000" w:sz="4" w:space="0"/>
              <w:left w:val="dashed" w:color="auto" w:sz="4" w:space="0"/>
              <w:bottom w:val="dashed" w:color="000000" w:sz="4" w:space="0"/>
              <w:right w:val="dashed" w:color="auto" w:sz="4" w:space="0"/>
            </w:tcBorders>
            <w:vAlign w:val="center"/>
          </w:tcPr>
          <w:p>
            <w:pPr>
              <w:widowControl/>
              <w:jc w:val="center"/>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是</w:t>
            </w:r>
          </w:p>
        </w:tc>
        <w:tc>
          <w:tcPr>
            <w:tcW w:w="378" w:type="pct"/>
            <w:tcBorders>
              <w:top w:val="dashed" w:color="000000" w:sz="4" w:space="0"/>
              <w:left w:val="dashed" w:color="auto" w:sz="4" w:space="0"/>
              <w:bottom w:val="dashed" w:color="000000" w:sz="4" w:space="0"/>
              <w:right w:val="dashed" w:color="auto" w:sz="4" w:space="0"/>
            </w:tcBorders>
            <w:vAlign w:val="center"/>
          </w:tcPr>
          <w:p>
            <w:pPr>
              <w:widowControl/>
              <w:jc w:val="right"/>
              <w:rPr>
                <w:rFonts w:hint="eastAsia" w:ascii="宋体" w:hAnsi="宋体" w:eastAsia="宋体" w:cs="宋体"/>
                <w:color w:val="000000" w:themeColor="text1"/>
                <w:sz w:val="18"/>
                <w:szCs w:val="18"/>
                <w:highlight w:val="none"/>
                <w14:textFill>
                  <w14:solidFill>
                    <w14:schemeClr w14:val="tx1"/>
                  </w14:solidFill>
                </w14:textFill>
              </w:rPr>
            </w:pPr>
          </w:p>
        </w:tc>
        <w:tc>
          <w:tcPr>
            <w:tcW w:w="373" w:type="pct"/>
            <w:tcBorders>
              <w:top w:val="dashed" w:color="000000" w:sz="4" w:space="0"/>
              <w:left w:val="dashed" w:color="auto" w:sz="4" w:space="0"/>
              <w:bottom w:val="dashed" w:color="000000" w:sz="4" w:space="0"/>
              <w:right w:val="dashed" w:color="auto" w:sz="4" w:space="0"/>
            </w:tcBorders>
            <w:vAlign w:val="center"/>
          </w:tcPr>
          <w:p>
            <w:pPr>
              <w:widowControl/>
              <w:jc w:val="right"/>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1,534.00</w:t>
            </w:r>
          </w:p>
        </w:tc>
        <w:tc>
          <w:tcPr>
            <w:tcW w:w="307" w:type="pct"/>
            <w:tcBorders>
              <w:top w:val="dashed" w:color="000000" w:sz="4" w:space="0"/>
              <w:left w:val="dashed" w:color="auto" w:sz="4" w:space="0"/>
              <w:bottom w:val="dashed" w:color="000000" w:sz="4" w:space="0"/>
              <w:right w:val="dashed" w:color="auto" w:sz="4" w:space="0"/>
            </w:tcBorders>
            <w:vAlign w:val="center"/>
          </w:tcPr>
          <w:p>
            <w:pPr>
              <w:widowControl/>
              <w:jc w:val="center"/>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不适用</w:t>
            </w:r>
          </w:p>
        </w:tc>
        <w:tc>
          <w:tcPr>
            <w:tcW w:w="322" w:type="pct"/>
            <w:tcBorders>
              <w:top w:val="dashed" w:color="000000" w:sz="4" w:space="0"/>
              <w:left w:val="dashed" w:color="auto" w:sz="4" w:space="0"/>
              <w:bottom w:val="dashed" w:color="000000" w:sz="4" w:space="0"/>
              <w:right w:val="dashed" w:color="auto" w:sz="4" w:space="0"/>
            </w:tcBorders>
            <w:vAlign w:val="center"/>
          </w:tcPr>
          <w:p>
            <w:pPr>
              <w:widowControl/>
              <w:jc w:val="right"/>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148.53</w:t>
            </w:r>
          </w:p>
        </w:tc>
        <w:tc>
          <w:tcPr>
            <w:tcW w:w="389" w:type="pct"/>
            <w:tcBorders>
              <w:top w:val="dashed" w:color="000000" w:sz="4" w:space="0"/>
              <w:left w:val="dashed" w:color="auto" w:sz="4" w:space="0"/>
              <w:bottom w:val="dashed" w:color="000000" w:sz="4" w:space="0"/>
              <w:right w:val="dashed" w:color="auto" w:sz="4" w:space="0"/>
            </w:tcBorders>
            <w:vAlign w:val="center"/>
          </w:tcPr>
          <w:p>
            <w:pPr>
              <w:widowControl/>
              <w:jc w:val="right"/>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929.89</w:t>
            </w:r>
          </w:p>
        </w:tc>
        <w:tc>
          <w:tcPr>
            <w:tcW w:w="450" w:type="pct"/>
            <w:tcBorders>
              <w:top w:val="dashed" w:color="000000" w:sz="4" w:space="0"/>
              <w:left w:val="dashed" w:color="auto" w:sz="4" w:space="0"/>
              <w:bottom w:val="dashed" w:color="000000" w:sz="4" w:space="0"/>
              <w:right w:val="dashed" w:color="auto" w:sz="4" w:space="0"/>
            </w:tcBorders>
            <w:vAlign w:val="center"/>
          </w:tcPr>
          <w:p>
            <w:pPr>
              <w:widowControl/>
              <w:jc w:val="center"/>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不适用</w:t>
            </w:r>
          </w:p>
        </w:tc>
        <w:tc>
          <w:tcPr>
            <w:tcW w:w="305" w:type="pct"/>
            <w:tcBorders>
              <w:top w:val="dashed" w:color="000000" w:sz="4" w:space="0"/>
              <w:left w:val="dashed" w:color="auto" w:sz="4" w:space="0"/>
              <w:bottom w:val="dashed" w:color="000000" w:sz="4" w:space="0"/>
              <w:right w:val="dashed" w:color="auto" w:sz="4" w:space="0"/>
            </w:tcBorders>
            <w:vAlign w:val="center"/>
          </w:tcPr>
          <w:p>
            <w:pPr>
              <w:widowControl/>
              <w:jc w:val="center"/>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不适用</w:t>
            </w:r>
          </w:p>
        </w:tc>
        <w:tc>
          <w:tcPr>
            <w:tcW w:w="358" w:type="pct"/>
            <w:tcBorders>
              <w:top w:val="dashed" w:color="000000" w:sz="4" w:space="0"/>
              <w:left w:val="dashed" w:color="auto" w:sz="4" w:space="0"/>
              <w:bottom w:val="dashed" w:color="000000" w:sz="4" w:space="0"/>
              <w:right w:val="dashed" w:color="auto" w:sz="4" w:space="0"/>
            </w:tcBorders>
            <w:vAlign w:val="center"/>
          </w:tcPr>
          <w:p>
            <w:pPr>
              <w:widowControl/>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2026.06</w:t>
            </w:r>
          </w:p>
        </w:tc>
        <w:tc>
          <w:tcPr>
            <w:tcW w:w="360" w:type="pct"/>
            <w:tcBorders>
              <w:top w:val="dashed" w:color="000000" w:sz="4" w:space="0"/>
              <w:left w:val="dashed" w:color="auto" w:sz="4" w:space="0"/>
              <w:bottom w:val="dashed" w:color="000000" w:sz="4" w:space="0"/>
              <w:right w:val="dashed" w:color="auto" w:sz="4" w:space="0"/>
            </w:tcBorders>
            <w:vAlign w:val="center"/>
          </w:tcPr>
          <w:p>
            <w:pPr>
              <w:widowControl/>
              <w:jc w:val="center"/>
              <w:rPr>
                <w:rFonts w:hint="eastAsia" w:ascii="宋体" w:hAnsi="宋体" w:eastAsia="宋体" w:cs="宋体"/>
                <w:color w:val="000000" w:themeColor="text1"/>
                <w:kern w:val="0"/>
                <w:sz w:val="18"/>
                <w:szCs w:val="18"/>
                <w:highlight w:val="none"/>
                <w14:textFill>
                  <w14:solidFill>
                    <w14:schemeClr w14:val="tx1"/>
                  </w14:solidFill>
                </w14:textFill>
              </w:rPr>
            </w:pPr>
          </w:p>
        </w:tc>
        <w:tc>
          <w:tcPr>
            <w:tcW w:w="302" w:type="pct"/>
            <w:tcBorders>
              <w:top w:val="dashed" w:color="000000" w:sz="4" w:space="0"/>
              <w:left w:val="dashed" w:color="auto" w:sz="4" w:space="0"/>
              <w:bottom w:val="dashed" w:color="000000" w:sz="4" w:space="0"/>
              <w:right w:val="dashed" w:color="auto" w:sz="4" w:space="0"/>
            </w:tcBorders>
            <w:vAlign w:val="center"/>
          </w:tcPr>
          <w:p>
            <w:pPr>
              <w:widowControl/>
              <w:jc w:val="center"/>
              <w:rPr>
                <w:rFonts w:hint="eastAsia" w:ascii="宋体" w:hAnsi="宋体" w:eastAsia="宋体" w:cs="宋体"/>
                <w:color w:val="000000" w:themeColor="text1"/>
                <w:kern w:val="0"/>
                <w:sz w:val="18"/>
                <w:szCs w:val="18"/>
                <w:highlight w:val="none"/>
                <w14:textFill>
                  <w14:solidFill>
                    <w14:schemeClr w14:val="tx1"/>
                  </w14:solidFill>
                </w14:textFill>
              </w:rPr>
            </w:pPr>
          </w:p>
        </w:tc>
        <w:tc>
          <w:tcPr>
            <w:tcW w:w="310" w:type="pct"/>
            <w:tcBorders>
              <w:top w:val="dashed" w:color="000000" w:sz="4" w:space="0"/>
              <w:left w:val="dashed" w:color="auto" w:sz="4" w:space="0"/>
              <w:bottom w:val="dashed" w:color="000000" w:sz="4" w:space="0"/>
              <w:right w:val="nil"/>
            </w:tcBorders>
            <w:vAlign w:val="center"/>
          </w:tcPr>
          <w:p>
            <w:pPr>
              <w:widowControl/>
              <w:jc w:val="center"/>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kern w:val="0"/>
                <w:sz w:val="18"/>
                <w:szCs w:val="18"/>
                <w:highlight w:val="none"/>
                <w14:textFill>
                  <w14:solidFill>
                    <w14:schemeClr w14:val="tx1"/>
                  </w14:solidFill>
                </w14:textFill>
              </w:rPr>
              <w:t>是</w:t>
            </w:r>
            <w:r>
              <w:rPr>
                <w:rFonts w:hint="eastAsia" w:ascii="宋体" w:hAnsi="宋体" w:eastAsia="宋体" w:cs="宋体"/>
                <w:color w:val="000000" w:themeColor="text1"/>
                <w:sz w:val="18"/>
                <w:szCs w:val="18"/>
                <w:highlight w:val="none"/>
                <w14:textFill>
                  <w14:solidFill>
                    <w14:schemeClr w14:val="tx1"/>
                  </w14:solidFill>
                </w14:textFill>
              </w:rPr>
              <w:t>[</w:t>
            </w:r>
            <w:r>
              <w:rPr>
                <w:rFonts w:hint="eastAsia" w:ascii="宋体" w:hAnsi="宋体" w:eastAsia="宋体" w:cs="宋体"/>
                <w:color w:val="000000" w:themeColor="text1"/>
                <w:kern w:val="0"/>
                <w:sz w:val="18"/>
                <w:szCs w:val="18"/>
                <w:highlight w:val="none"/>
                <w14:textFill>
                  <w14:solidFill>
                    <w14:schemeClr w14:val="tx1"/>
                  </w14:solidFill>
                </w14:textFill>
              </w:rPr>
              <w:t>注</w:t>
            </w:r>
            <w:r>
              <w:rPr>
                <w:rFonts w:hint="eastAsia" w:ascii="宋体" w:hAnsi="宋体" w:eastAsia="宋体" w:cs="宋体"/>
                <w:color w:val="000000" w:themeColor="text1"/>
                <w:sz w:val="18"/>
                <w:szCs w:val="18"/>
                <w:highlight w:val="none"/>
                <w14:textFill>
                  <w14:solidFill>
                    <w14:schemeClr w14:val="tx1"/>
                  </w14:solidFill>
                </w14:textFill>
              </w:rPr>
              <w:t>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33" w:type="pct"/>
            <w:tcBorders>
              <w:top w:val="dashed" w:color="000000" w:sz="4" w:space="0"/>
              <w:left w:val="nil"/>
              <w:bottom w:val="dashed" w:color="000000" w:sz="4" w:space="0"/>
              <w:right w:val="dashed" w:color="auto" w:sz="4" w:space="0"/>
            </w:tcBorders>
            <w:vAlign w:val="center"/>
          </w:tcPr>
          <w:p>
            <w:pPr>
              <w:widowControl/>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利奈唑胺与沃诺拉赞的仿制项目</w:t>
            </w:r>
          </w:p>
        </w:tc>
        <w:tc>
          <w:tcPr>
            <w:tcW w:w="307" w:type="pct"/>
            <w:tcBorders>
              <w:top w:val="dashed" w:color="000000" w:sz="4" w:space="0"/>
              <w:left w:val="dashed" w:color="auto" w:sz="4" w:space="0"/>
              <w:bottom w:val="dashed" w:color="000000" w:sz="4" w:space="0"/>
              <w:right w:val="dashed" w:color="auto" w:sz="4" w:space="0"/>
            </w:tcBorders>
            <w:vAlign w:val="center"/>
          </w:tcPr>
          <w:p>
            <w:pPr>
              <w:widowControl/>
              <w:jc w:val="center"/>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是</w:t>
            </w:r>
          </w:p>
        </w:tc>
        <w:tc>
          <w:tcPr>
            <w:tcW w:w="378" w:type="pct"/>
            <w:tcBorders>
              <w:top w:val="dashed" w:color="000000" w:sz="4" w:space="0"/>
              <w:left w:val="dashed" w:color="auto" w:sz="4" w:space="0"/>
              <w:bottom w:val="dashed" w:color="000000" w:sz="4" w:space="0"/>
              <w:right w:val="dashed" w:color="auto" w:sz="4" w:space="0"/>
            </w:tcBorders>
            <w:vAlign w:val="center"/>
          </w:tcPr>
          <w:p>
            <w:pPr>
              <w:widowControl/>
              <w:jc w:val="right"/>
              <w:rPr>
                <w:rFonts w:hint="eastAsia" w:ascii="宋体" w:hAnsi="宋体" w:eastAsia="宋体" w:cs="宋体"/>
                <w:color w:val="000000" w:themeColor="text1"/>
                <w:sz w:val="18"/>
                <w:szCs w:val="18"/>
                <w:highlight w:val="none"/>
                <w14:textFill>
                  <w14:solidFill>
                    <w14:schemeClr w14:val="tx1"/>
                  </w14:solidFill>
                </w14:textFill>
              </w:rPr>
            </w:pPr>
          </w:p>
        </w:tc>
        <w:tc>
          <w:tcPr>
            <w:tcW w:w="373" w:type="pct"/>
            <w:tcBorders>
              <w:top w:val="dashed" w:color="000000" w:sz="4" w:space="0"/>
              <w:left w:val="dashed" w:color="auto" w:sz="4" w:space="0"/>
              <w:bottom w:val="dashed" w:color="000000" w:sz="4" w:space="0"/>
              <w:right w:val="dashed" w:color="auto" w:sz="4" w:space="0"/>
            </w:tcBorders>
            <w:vAlign w:val="center"/>
          </w:tcPr>
          <w:p>
            <w:pPr>
              <w:widowControl/>
              <w:jc w:val="right"/>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1,480.37</w:t>
            </w:r>
          </w:p>
        </w:tc>
        <w:tc>
          <w:tcPr>
            <w:tcW w:w="307" w:type="pct"/>
            <w:tcBorders>
              <w:top w:val="dashed" w:color="000000" w:sz="4" w:space="0"/>
              <w:left w:val="dashed" w:color="auto" w:sz="4" w:space="0"/>
              <w:bottom w:val="dashed" w:color="000000" w:sz="4" w:space="0"/>
              <w:right w:val="dashed" w:color="auto" w:sz="4" w:space="0"/>
            </w:tcBorders>
            <w:vAlign w:val="center"/>
          </w:tcPr>
          <w:p>
            <w:pPr>
              <w:widowControl/>
              <w:jc w:val="center"/>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不适用</w:t>
            </w:r>
          </w:p>
        </w:tc>
        <w:tc>
          <w:tcPr>
            <w:tcW w:w="322" w:type="pct"/>
            <w:tcBorders>
              <w:top w:val="dashed" w:color="000000" w:sz="4" w:space="0"/>
              <w:left w:val="dashed" w:color="auto" w:sz="4" w:space="0"/>
              <w:bottom w:val="dashed" w:color="000000" w:sz="4" w:space="0"/>
              <w:right w:val="dashed" w:color="auto" w:sz="4" w:space="0"/>
            </w:tcBorders>
            <w:vAlign w:val="center"/>
          </w:tcPr>
          <w:p>
            <w:pPr>
              <w:widowControl/>
              <w:jc w:val="right"/>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44.15</w:t>
            </w:r>
          </w:p>
        </w:tc>
        <w:tc>
          <w:tcPr>
            <w:tcW w:w="389" w:type="pct"/>
            <w:tcBorders>
              <w:top w:val="dashed" w:color="000000" w:sz="4" w:space="0"/>
              <w:left w:val="dashed" w:color="auto" w:sz="4" w:space="0"/>
              <w:bottom w:val="dashed" w:color="000000" w:sz="4" w:space="0"/>
              <w:right w:val="dashed" w:color="auto" w:sz="4" w:space="0"/>
            </w:tcBorders>
            <w:vAlign w:val="center"/>
          </w:tcPr>
          <w:p>
            <w:pPr>
              <w:widowControl/>
              <w:jc w:val="right"/>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624.26</w:t>
            </w:r>
          </w:p>
        </w:tc>
        <w:tc>
          <w:tcPr>
            <w:tcW w:w="450" w:type="pct"/>
            <w:tcBorders>
              <w:top w:val="dashed" w:color="000000" w:sz="4" w:space="0"/>
              <w:left w:val="dashed" w:color="auto" w:sz="4" w:space="0"/>
              <w:bottom w:val="dashed" w:color="000000" w:sz="4" w:space="0"/>
              <w:right w:val="dashed" w:color="auto" w:sz="4" w:space="0"/>
            </w:tcBorders>
            <w:vAlign w:val="center"/>
          </w:tcPr>
          <w:p>
            <w:pPr>
              <w:widowControl/>
              <w:jc w:val="center"/>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不适用</w:t>
            </w:r>
          </w:p>
        </w:tc>
        <w:tc>
          <w:tcPr>
            <w:tcW w:w="305" w:type="pct"/>
            <w:tcBorders>
              <w:top w:val="dashed" w:color="000000" w:sz="4" w:space="0"/>
              <w:left w:val="dashed" w:color="auto" w:sz="4" w:space="0"/>
              <w:bottom w:val="dashed" w:color="000000" w:sz="4" w:space="0"/>
              <w:right w:val="dashed" w:color="auto" w:sz="4" w:space="0"/>
            </w:tcBorders>
            <w:vAlign w:val="center"/>
          </w:tcPr>
          <w:p>
            <w:pPr>
              <w:widowControl/>
              <w:jc w:val="center"/>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不适用</w:t>
            </w:r>
          </w:p>
        </w:tc>
        <w:tc>
          <w:tcPr>
            <w:tcW w:w="358" w:type="pct"/>
            <w:tcBorders>
              <w:top w:val="dashed" w:color="000000" w:sz="4" w:space="0"/>
              <w:left w:val="dashed" w:color="auto" w:sz="4" w:space="0"/>
              <w:bottom w:val="dashed" w:color="000000" w:sz="4" w:space="0"/>
              <w:right w:val="dashed" w:color="auto" w:sz="4" w:space="0"/>
            </w:tcBorders>
            <w:vAlign w:val="center"/>
          </w:tcPr>
          <w:p>
            <w:pPr>
              <w:widowControl/>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2024.07</w:t>
            </w:r>
          </w:p>
        </w:tc>
        <w:tc>
          <w:tcPr>
            <w:tcW w:w="360" w:type="pct"/>
            <w:tcBorders>
              <w:top w:val="dashed" w:color="000000" w:sz="4" w:space="0"/>
              <w:left w:val="dashed" w:color="auto" w:sz="4" w:space="0"/>
              <w:bottom w:val="dashed" w:color="000000" w:sz="4" w:space="0"/>
              <w:right w:val="dashed" w:color="auto" w:sz="4" w:space="0"/>
            </w:tcBorders>
            <w:vAlign w:val="center"/>
          </w:tcPr>
          <w:p>
            <w:pPr>
              <w:widowControl/>
              <w:jc w:val="center"/>
              <w:rPr>
                <w:rFonts w:hint="eastAsia" w:ascii="宋体" w:hAnsi="宋体" w:eastAsia="宋体" w:cs="宋体"/>
                <w:color w:val="000000" w:themeColor="text1"/>
                <w:kern w:val="0"/>
                <w:sz w:val="18"/>
                <w:szCs w:val="18"/>
                <w:highlight w:val="none"/>
                <w14:textFill>
                  <w14:solidFill>
                    <w14:schemeClr w14:val="tx1"/>
                  </w14:solidFill>
                </w14:textFill>
              </w:rPr>
            </w:pPr>
          </w:p>
        </w:tc>
        <w:tc>
          <w:tcPr>
            <w:tcW w:w="302" w:type="pct"/>
            <w:tcBorders>
              <w:top w:val="dashed" w:color="000000" w:sz="4" w:space="0"/>
              <w:left w:val="dashed" w:color="auto" w:sz="4" w:space="0"/>
              <w:bottom w:val="dashed" w:color="000000" w:sz="4" w:space="0"/>
              <w:right w:val="dashed" w:color="auto" w:sz="4" w:space="0"/>
            </w:tcBorders>
            <w:vAlign w:val="center"/>
          </w:tcPr>
          <w:p>
            <w:pPr>
              <w:widowControl/>
              <w:jc w:val="center"/>
              <w:rPr>
                <w:rFonts w:hint="eastAsia" w:ascii="宋体" w:hAnsi="宋体" w:eastAsia="宋体" w:cs="宋体"/>
                <w:color w:val="000000" w:themeColor="text1"/>
                <w:kern w:val="0"/>
                <w:sz w:val="18"/>
                <w:szCs w:val="18"/>
                <w:highlight w:val="none"/>
                <w14:textFill>
                  <w14:solidFill>
                    <w14:schemeClr w14:val="tx1"/>
                  </w14:solidFill>
                </w14:textFill>
              </w:rPr>
            </w:pPr>
          </w:p>
        </w:tc>
        <w:tc>
          <w:tcPr>
            <w:tcW w:w="310" w:type="pct"/>
            <w:tcBorders>
              <w:top w:val="dashed" w:color="000000" w:sz="4" w:space="0"/>
              <w:left w:val="dashed" w:color="auto" w:sz="4" w:space="0"/>
              <w:bottom w:val="dashed" w:color="000000" w:sz="4" w:space="0"/>
              <w:right w:val="nil"/>
            </w:tcBorders>
            <w:vAlign w:val="center"/>
          </w:tcPr>
          <w:p>
            <w:pPr>
              <w:widowControl/>
              <w:jc w:val="center"/>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kern w:val="0"/>
                <w:sz w:val="18"/>
                <w:szCs w:val="18"/>
                <w:highlight w:val="none"/>
                <w14:textFill>
                  <w14:solidFill>
                    <w14:schemeClr w14:val="tx1"/>
                  </w14:solidFill>
                </w14:textFill>
              </w:rPr>
              <w:t>是</w:t>
            </w:r>
            <w:r>
              <w:rPr>
                <w:rFonts w:hint="eastAsia" w:ascii="宋体" w:hAnsi="宋体" w:eastAsia="宋体" w:cs="宋体"/>
                <w:color w:val="000000" w:themeColor="text1"/>
                <w:sz w:val="18"/>
                <w:szCs w:val="18"/>
                <w:highlight w:val="none"/>
                <w14:textFill>
                  <w14:solidFill>
                    <w14:schemeClr w14:val="tx1"/>
                  </w14:solidFill>
                </w14:textFill>
              </w:rPr>
              <w:t>[</w:t>
            </w:r>
            <w:r>
              <w:rPr>
                <w:rFonts w:hint="eastAsia" w:ascii="宋体" w:hAnsi="宋体" w:eastAsia="宋体" w:cs="宋体"/>
                <w:color w:val="000000" w:themeColor="text1"/>
                <w:kern w:val="0"/>
                <w:sz w:val="18"/>
                <w:szCs w:val="18"/>
                <w:highlight w:val="none"/>
                <w14:textFill>
                  <w14:solidFill>
                    <w14:schemeClr w14:val="tx1"/>
                  </w14:solidFill>
                </w14:textFill>
              </w:rPr>
              <w:t>注</w:t>
            </w:r>
            <w:r>
              <w:rPr>
                <w:rFonts w:hint="eastAsia" w:ascii="宋体" w:hAnsi="宋体" w:eastAsia="宋体" w:cs="宋体"/>
                <w:color w:val="000000" w:themeColor="text1"/>
                <w:sz w:val="18"/>
                <w:szCs w:val="18"/>
                <w:highlight w:val="none"/>
                <w14:textFill>
                  <w14:solidFill>
                    <w14:schemeClr w14:val="tx1"/>
                  </w14:solidFill>
                </w14:textFill>
              </w:rPr>
              <w:t>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33" w:type="pct"/>
            <w:tcBorders>
              <w:top w:val="dashed" w:color="000000" w:sz="4" w:space="0"/>
              <w:left w:val="nil"/>
              <w:bottom w:val="dashed" w:color="000000" w:sz="4" w:space="0"/>
              <w:right w:val="dashed" w:color="auto" w:sz="4" w:space="0"/>
            </w:tcBorders>
            <w:vAlign w:val="center"/>
          </w:tcPr>
          <w:p>
            <w:pPr>
              <w:widowControl/>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kern w:val="0"/>
                <w:sz w:val="18"/>
                <w:szCs w:val="18"/>
                <w:highlight w:val="none"/>
                <w14:textFill>
                  <w14:solidFill>
                    <w14:schemeClr w14:val="tx1"/>
                  </w14:solidFill>
                </w14:textFill>
              </w:rPr>
              <w:t>永久补充流动资金</w:t>
            </w:r>
          </w:p>
        </w:tc>
        <w:tc>
          <w:tcPr>
            <w:tcW w:w="307" w:type="pct"/>
            <w:tcBorders>
              <w:top w:val="dashed" w:color="000000" w:sz="4" w:space="0"/>
              <w:left w:val="dashed" w:color="auto" w:sz="4" w:space="0"/>
              <w:bottom w:val="dashed" w:color="000000" w:sz="4" w:space="0"/>
              <w:right w:val="dashed" w:color="auto" w:sz="4" w:space="0"/>
            </w:tcBorders>
            <w:vAlign w:val="center"/>
          </w:tcPr>
          <w:p>
            <w:pPr>
              <w:widowControl/>
              <w:jc w:val="center"/>
              <w:rPr>
                <w:rFonts w:hint="eastAsia" w:ascii="宋体" w:hAnsi="宋体" w:eastAsia="宋体" w:cs="宋体"/>
                <w:color w:val="000000" w:themeColor="text1"/>
                <w:kern w:val="0"/>
                <w:sz w:val="18"/>
                <w:szCs w:val="18"/>
                <w:highlight w:val="none"/>
                <w14:textFill>
                  <w14:solidFill>
                    <w14:schemeClr w14:val="tx1"/>
                  </w14:solidFill>
                </w14:textFill>
              </w:rPr>
            </w:pPr>
          </w:p>
        </w:tc>
        <w:tc>
          <w:tcPr>
            <w:tcW w:w="378" w:type="pct"/>
            <w:tcBorders>
              <w:top w:val="dashed" w:color="000000" w:sz="4" w:space="0"/>
              <w:left w:val="dashed" w:color="auto" w:sz="4" w:space="0"/>
              <w:bottom w:val="dashed" w:color="000000" w:sz="4" w:space="0"/>
              <w:right w:val="dashed" w:color="auto" w:sz="4" w:space="0"/>
            </w:tcBorders>
            <w:vAlign w:val="center"/>
          </w:tcPr>
          <w:p>
            <w:pPr>
              <w:widowControl/>
              <w:jc w:val="right"/>
              <w:rPr>
                <w:rFonts w:hint="eastAsia" w:ascii="宋体" w:hAnsi="宋体" w:eastAsia="宋体" w:cs="宋体"/>
                <w:color w:val="000000" w:themeColor="text1"/>
                <w:sz w:val="18"/>
                <w:szCs w:val="18"/>
                <w:highlight w:val="none"/>
                <w14:textFill>
                  <w14:solidFill>
                    <w14:schemeClr w14:val="tx1"/>
                  </w14:solidFill>
                </w14:textFill>
              </w:rPr>
            </w:pPr>
          </w:p>
        </w:tc>
        <w:tc>
          <w:tcPr>
            <w:tcW w:w="373" w:type="pct"/>
            <w:tcBorders>
              <w:top w:val="dashed" w:color="000000" w:sz="4" w:space="0"/>
              <w:left w:val="dashed" w:color="auto" w:sz="4" w:space="0"/>
              <w:bottom w:val="dashed" w:color="000000" w:sz="4" w:space="0"/>
              <w:right w:val="dashed" w:color="auto" w:sz="4" w:space="0"/>
            </w:tcBorders>
            <w:vAlign w:val="center"/>
          </w:tcPr>
          <w:p>
            <w:pPr>
              <w:widowControl/>
              <w:jc w:val="right"/>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5,602.00</w:t>
            </w:r>
          </w:p>
        </w:tc>
        <w:tc>
          <w:tcPr>
            <w:tcW w:w="307" w:type="pct"/>
            <w:tcBorders>
              <w:top w:val="dashed" w:color="000000" w:sz="4" w:space="0"/>
              <w:left w:val="dashed" w:color="auto" w:sz="4" w:space="0"/>
              <w:bottom w:val="dashed" w:color="000000" w:sz="4" w:space="0"/>
              <w:right w:val="dashed" w:color="auto" w:sz="4" w:space="0"/>
            </w:tcBorders>
            <w:vAlign w:val="center"/>
          </w:tcPr>
          <w:p>
            <w:pPr>
              <w:widowControl/>
              <w:jc w:val="center"/>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不适用</w:t>
            </w:r>
          </w:p>
        </w:tc>
        <w:tc>
          <w:tcPr>
            <w:tcW w:w="322" w:type="pct"/>
            <w:tcBorders>
              <w:top w:val="dashed" w:color="000000" w:sz="4" w:space="0"/>
              <w:left w:val="dashed" w:color="auto" w:sz="4" w:space="0"/>
              <w:bottom w:val="dashed" w:color="000000" w:sz="4" w:space="0"/>
              <w:right w:val="dashed" w:color="auto" w:sz="4" w:space="0"/>
            </w:tcBorders>
            <w:vAlign w:val="center"/>
          </w:tcPr>
          <w:p>
            <w:pPr>
              <w:widowControl/>
              <w:jc w:val="right"/>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0.00</w:t>
            </w:r>
          </w:p>
        </w:tc>
        <w:tc>
          <w:tcPr>
            <w:tcW w:w="389" w:type="pct"/>
            <w:tcBorders>
              <w:top w:val="dashed" w:color="000000" w:sz="4" w:space="0"/>
              <w:left w:val="dashed" w:color="auto" w:sz="4" w:space="0"/>
              <w:bottom w:val="dashed" w:color="000000" w:sz="4" w:space="0"/>
              <w:right w:val="dashed" w:color="auto" w:sz="4" w:space="0"/>
            </w:tcBorders>
            <w:vAlign w:val="center"/>
          </w:tcPr>
          <w:p>
            <w:pPr>
              <w:widowControl/>
              <w:jc w:val="right"/>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5,602.00</w:t>
            </w:r>
          </w:p>
        </w:tc>
        <w:tc>
          <w:tcPr>
            <w:tcW w:w="450" w:type="pct"/>
            <w:tcBorders>
              <w:top w:val="dashed" w:color="000000" w:sz="4" w:space="0"/>
              <w:left w:val="dashed" w:color="auto" w:sz="4" w:space="0"/>
              <w:bottom w:val="dashed" w:color="000000" w:sz="4" w:space="0"/>
              <w:right w:val="dashed" w:color="auto" w:sz="4" w:space="0"/>
            </w:tcBorders>
            <w:vAlign w:val="center"/>
          </w:tcPr>
          <w:p>
            <w:pPr>
              <w:widowControl/>
              <w:jc w:val="center"/>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不适用</w:t>
            </w:r>
          </w:p>
        </w:tc>
        <w:tc>
          <w:tcPr>
            <w:tcW w:w="305" w:type="pct"/>
            <w:tcBorders>
              <w:top w:val="dashed" w:color="000000" w:sz="4" w:space="0"/>
              <w:left w:val="dashed" w:color="auto" w:sz="4" w:space="0"/>
              <w:bottom w:val="dashed" w:color="000000" w:sz="4" w:space="0"/>
              <w:right w:val="dashed" w:color="auto" w:sz="4" w:space="0"/>
            </w:tcBorders>
            <w:vAlign w:val="center"/>
          </w:tcPr>
          <w:p>
            <w:pPr>
              <w:widowControl/>
              <w:jc w:val="center"/>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不适用</w:t>
            </w:r>
          </w:p>
        </w:tc>
        <w:tc>
          <w:tcPr>
            <w:tcW w:w="358" w:type="pct"/>
            <w:tcBorders>
              <w:top w:val="dashed" w:color="000000" w:sz="4" w:space="0"/>
              <w:left w:val="dashed" w:color="auto" w:sz="4" w:space="0"/>
              <w:bottom w:val="dashed" w:color="000000" w:sz="4" w:space="0"/>
              <w:right w:val="dashed" w:color="auto" w:sz="4" w:space="0"/>
            </w:tcBorders>
            <w:vAlign w:val="center"/>
          </w:tcPr>
          <w:p>
            <w:pPr>
              <w:widowControl/>
              <w:jc w:val="center"/>
              <w:rPr>
                <w:rFonts w:hint="eastAsia" w:ascii="宋体" w:hAnsi="宋体" w:eastAsia="宋体" w:cs="宋体"/>
                <w:color w:val="000000" w:themeColor="text1"/>
                <w:kern w:val="0"/>
                <w:sz w:val="18"/>
                <w:szCs w:val="18"/>
                <w:highlight w:val="none"/>
                <w14:textFill>
                  <w14:solidFill>
                    <w14:schemeClr w14:val="tx1"/>
                  </w14:solidFill>
                </w14:textFill>
              </w:rPr>
            </w:pPr>
          </w:p>
        </w:tc>
        <w:tc>
          <w:tcPr>
            <w:tcW w:w="360" w:type="pct"/>
            <w:tcBorders>
              <w:top w:val="dashed" w:color="000000" w:sz="4" w:space="0"/>
              <w:left w:val="dashed" w:color="auto" w:sz="4" w:space="0"/>
              <w:bottom w:val="dashed" w:color="000000" w:sz="4" w:space="0"/>
              <w:right w:val="dashed" w:color="auto" w:sz="4" w:space="0"/>
            </w:tcBorders>
            <w:vAlign w:val="center"/>
          </w:tcPr>
          <w:p>
            <w:pPr>
              <w:widowControl/>
              <w:jc w:val="center"/>
              <w:rPr>
                <w:rFonts w:hint="eastAsia" w:ascii="宋体" w:hAnsi="宋体" w:eastAsia="宋体" w:cs="宋体"/>
                <w:color w:val="000000" w:themeColor="text1"/>
                <w:kern w:val="0"/>
                <w:sz w:val="18"/>
                <w:szCs w:val="18"/>
                <w:highlight w:val="none"/>
                <w14:textFill>
                  <w14:solidFill>
                    <w14:schemeClr w14:val="tx1"/>
                  </w14:solidFill>
                </w14:textFill>
              </w:rPr>
            </w:pPr>
          </w:p>
        </w:tc>
        <w:tc>
          <w:tcPr>
            <w:tcW w:w="302" w:type="pct"/>
            <w:tcBorders>
              <w:top w:val="dashed" w:color="000000" w:sz="4" w:space="0"/>
              <w:left w:val="dashed" w:color="auto" w:sz="4" w:space="0"/>
              <w:bottom w:val="dashed" w:color="000000" w:sz="4" w:space="0"/>
              <w:right w:val="dashed" w:color="auto" w:sz="4" w:space="0"/>
            </w:tcBorders>
            <w:vAlign w:val="center"/>
          </w:tcPr>
          <w:p>
            <w:pPr>
              <w:widowControl/>
              <w:jc w:val="center"/>
              <w:rPr>
                <w:rFonts w:hint="eastAsia" w:ascii="宋体" w:hAnsi="宋体" w:eastAsia="宋体" w:cs="宋体"/>
                <w:color w:val="000000" w:themeColor="text1"/>
                <w:kern w:val="0"/>
                <w:sz w:val="18"/>
                <w:szCs w:val="18"/>
                <w:highlight w:val="none"/>
                <w14:textFill>
                  <w14:solidFill>
                    <w14:schemeClr w14:val="tx1"/>
                  </w14:solidFill>
                </w14:textFill>
              </w:rPr>
            </w:pPr>
          </w:p>
        </w:tc>
        <w:tc>
          <w:tcPr>
            <w:tcW w:w="310" w:type="pct"/>
            <w:tcBorders>
              <w:top w:val="dashed" w:color="000000" w:sz="4" w:space="0"/>
              <w:left w:val="dashed" w:color="auto" w:sz="4" w:space="0"/>
              <w:bottom w:val="dashed" w:color="000000" w:sz="4" w:space="0"/>
              <w:right w:val="nil"/>
            </w:tcBorders>
            <w:vAlign w:val="center"/>
          </w:tcPr>
          <w:p>
            <w:pPr>
              <w:widowControl/>
              <w:jc w:val="center"/>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w:t>
            </w:r>
            <w:r>
              <w:rPr>
                <w:rFonts w:hint="eastAsia" w:ascii="宋体" w:hAnsi="宋体" w:eastAsia="宋体" w:cs="宋体"/>
                <w:color w:val="000000" w:themeColor="text1"/>
                <w:kern w:val="0"/>
                <w:sz w:val="18"/>
                <w:szCs w:val="18"/>
                <w:highlight w:val="none"/>
                <w14:textFill>
                  <w14:solidFill>
                    <w14:schemeClr w14:val="tx1"/>
                  </w14:solidFill>
                </w14:textFill>
              </w:rPr>
              <w:t>注</w:t>
            </w:r>
            <w:r>
              <w:rPr>
                <w:rFonts w:hint="eastAsia" w:ascii="宋体" w:hAnsi="宋体" w:eastAsia="宋体" w:cs="宋体"/>
                <w:color w:val="000000" w:themeColor="text1"/>
                <w:sz w:val="18"/>
                <w:szCs w:val="18"/>
                <w:highlight w:val="none"/>
                <w14:textFill>
                  <w14:solidFill>
                    <w14:schemeClr w14:val="tx1"/>
                  </w14:solidFill>
                </w14:textFill>
              </w:rPr>
              <w:t>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9" w:hRule="atLeast"/>
          <w:jc w:val="center"/>
        </w:trPr>
        <w:tc>
          <w:tcPr>
            <w:tcW w:w="833" w:type="pct"/>
            <w:tcBorders>
              <w:top w:val="dashed" w:color="000000" w:sz="4" w:space="0"/>
              <w:left w:val="nil"/>
              <w:bottom w:val="dashed" w:color="000000" w:sz="4" w:space="0"/>
              <w:right w:val="dashed" w:color="auto" w:sz="4" w:space="0"/>
            </w:tcBorders>
            <w:vAlign w:val="center"/>
          </w:tcPr>
          <w:p>
            <w:pPr>
              <w:widowControl/>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kern w:val="0"/>
                <w:sz w:val="18"/>
                <w:szCs w:val="18"/>
                <w:highlight w:val="none"/>
                <w14:textFill>
                  <w14:solidFill>
                    <w14:schemeClr w14:val="tx1"/>
                  </w14:solidFill>
                </w14:textFill>
              </w:rPr>
              <w:t>合计</w:t>
            </w:r>
          </w:p>
        </w:tc>
        <w:tc>
          <w:tcPr>
            <w:tcW w:w="307" w:type="pct"/>
            <w:tcBorders>
              <w:top w:val="dashed" w:color="000000" w:sz="4" w:space="0"/>
              <w:left w:val="dashed" w:color="auto" w:sz="4" w:space="0"/>
              <w:bottom w:val="dashed" w:color="000000" w:sz="4" w:space="0"/>
              <w:right w:val="dashed" w:color="auto" w:sz="4" w:space="0"/>
            </w:tcBorders>
            <w:vAlign w:val="center"/>
          </w:tcPr>
          <w:p>
            <w:pPr>
              <w:widowControl/>
              <w:ind w:firstLine="360" w:firstLineChars="200"/>
              <w:jc w:val="left"/>
              <w:rPr>
                <w:rFonts w:hint="eastAsia" w:ascii="宋体" w:hAnsi="宋体" w:eastAsia="宋体" w:cs="宋体"/>
                <w:color w:val="000000" w:themeColor="text1"/>
                <w:kern w:val="0"/>
                <w:sz w:val="18"/>
                <w:szCs w:val="18"/>
                <w:highlight w:val="none"/>
                <w14:textFill>
                  <w14:solidFill>
                    <w14:schemeClr w14:val="tx1"/>
                  </w14:solidFill>
                </w14:textFill>
              </w:rPr>
            </w:pPr>
          </w:p>
        </w:tc>
        <w:tc>
          <w:tcPr>
            <w:tcW w:w="378" w:type="pct"/>
            <w:tcBorders>
              <w:top w:val="dashed" w:color="000000" w:sz="4" w:space="0"/>
              <w:left w:val="dashed" w:color="auto" w:sz="4" w:space="0"/>
              <w:bottom w:val="dashed" w:color="000000" w:sz="4" w:space="0"/>
              <w:right w:val="dashed" w:color="auto" w:sz="4" w:space="0"/>
            </w:tcBorders>
            <w:vAlign w:val="center"/>
          </w:tcPr>
          <w:p>
            <w:pPr>
              <w:widowControl/>
              <w:jc w:val="right"/>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51,389.68</w:t>
            </w:r>
          </w:p>
        </w:tc>
        <w:tc>
          <w:tcPr>
            <w:tcW w:w="373" w:type="pct"/>
            <w:tcBorders>
              <w:top w:val="dashed" w:color="000000" w:sz="4" w:space="0"/>
              <w:left w:val="dashed" w:color="auto" w:sz="4" w:space="0"/>
              <w:bottom w:val="dashed" w:color="000000" w:sz="4" w:space="0"/>
              <w:right w:val="dashed" w:color="auto" w:sz="4" w:space="0"/>
            </w:tcBorders>
            <w:vAlign w:val="center"/>
          </w:tcPr>
          <w:p>
            <w:pPr>
              <w:widowControl/>
              <w:jc w:val="right"/>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50,237.73</w:t>
            </w:r>
          </w:p>
        </w:tc>
        <w:tc>
          <w:tcPr>
            <w:tcW w:w="307" w:type="pct"/>
            <w:tcBorders>
              <w:top w:val="dashed" w:color="000000" w:sz="4" w:space="0"/>
              <w:left w:val="dashed" w:color="auto" w:sz="4" w:space="0"/>
              <w:bottom w:val="dashed" w:color="000000" w:sz="4" w:space="0"/>
              <w:right w:val="dashed" w:color="auto" w:sz="4" w:space="0"/>
            </w:tcBorders>
            <w:vAlign w:val="center"/>
          </w:tcPr>
          <w:p>
            <w:pPr>
              <w:widowControl/>
              <w:jc w:val="center"/>
              <w:rPr>
                <w:rFonts w:hint="eastAsia" w:ascii="宋体" w:hAnsi="宋体" w:eastAsia="宋体" w:cs="宋体"/>
                <w:color w:val="000000" w:themeColor="text1"/>
                <w:kern w:val="0"/>
                <w:sz w:val="18"/>
                <w:szCs w:val="18"/>
                <w:highlight w:val="none"/>
                <w14:textFill>
                  <w14:solidFill>
                    <w14:schemeClr w14:val="tx1"/>
                  </w14:solidFill>
                </w14:textFill>
              </w:rPr>
            </w:pPr>
          </w:p>
        </w:tc>
        <w:tc>
          <w:tcPr>
            <w:tcW w:w="322" w:type="pct"/>
            <w:tcBorders>
              <w:top w:val="dashed" w:color="000000" w:sz="4" w:space="0"/>
              <w:left w:val="dashed" w:color="auto" w:sz="4" w:space="0"/>
              <w:bottom w:val="dashed" w:color="000000" w:sz="4" w:space="0"/>
              <w:right w:val="dashed" w:color="auto" w:sz="4" w:space="0"/>
            </w:tcBorders>
            <w:vAlign w:val="center"/>
          </w:tcPr>
          <w:p>
            <w:pPr>
              <w:widowControl/>
              <w:jc w:val="right"/>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379.79</w:t>
            </w:r>
          </w:p>
        </w:tc>
        <w:tc>
          <w:tcPr>
            <w:tcW w:w="389" w:type="pct"/>
            <w:tcBorders>
              <w:top w:val="dashed" w:color="000000" w:sz="4" w:space="0"/>
              <w:left w:val="dashed" w:color="auto" w:sz="4" w:space="0"/>
              <w:bottom w:val="dashed" w:color="000000" w:sz="4" w:space="0"/>
              <w:right w:val="dashed" w:color="auto" w:sz="4" w:space="0"/>
            </w:tcBorders>
            <w:vAlign w:val="center"/>
          </w:tcPr>
          <w:p>
            <w:pPr>
              <w:widowControl/>
              <w:jc w:val="right"/>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49,337.35</w:t>
            </w:r>
          </w:p>
        </w:tc>
        <w:tc>
          <w:tcPr>
            <w:tcW w:w="450" w:type="pct"/>
            <w:tcBorders>
              <w:top w:val="dashed" w:color="000000" w:sz="4" w:space="0"/>
              <w:left w:val="dashed" w:color="auto" w:sz="4" w:space="0"/>
              <w:bottom w:val="dashed" w:color="000000" w:sz="4" w:space="0"/>
              <w:right w:val="dashed" w:color="auto" w:sz="4" w:space="0"/>
            </w:tcBorders>
            <w:vAlign w:val="center"/>
          </w:tcPr>
          <w:p>
            <w:pPr>
              <w:widowControl/>
              <w:jc w:val="center"/>
              <w:rPr>
                <w:rFonts w:hint="eastAsia" w:ascii="宋体" w:hAnsi="宋体" w:eastAsia="宋体" w:cs="宋体"/>
                <w:color w:val="000000" w:themeColor="text1"/>
                <w:kern w:val="0"/>
                <w:sz w:val="18"/>
                <w:szCs w:val="18"/>
                <w:highlight w:val="none"/>
                <w14:textFill>
                  <w14:solidFill>
                    <w14:schemeClr w14:val="tx1"/>
                  </w14:solidFill>
                </w14:textFill>
              </w:rPr>
            </w:pPr>
          </w:p>
        </w:tc>
        <w:tc>
          <w:tcPr>
            <w:tcW w:w="305" w:type="pct"/>
            <w:tcBorders>
              <w:top w:val="dashed" w:color="000000" w:sz="4" w:space="0"/>
              <w:left w:val="dashed" w:color="auto" w:sz="4" w:space="0"/>
              <w:bottom w:val="dashed" w:color="000000" w:sz="4" w:space="0"/>
              <w:right w:val="dashed" w:color="auto" w:sz="4" w:space="0"/>
            </w:tcBorders>
            <w:vAlign w:val="center"/>
          </w:tcPr>
          <w:p>
            <w:pPr>
              <w:widowControl/>
              <w:jc w:val="center"/>
              <w:rPr>
                <w:rFonts w:hint="eastAsia" w:ascii="宋体" w:hAnsi="宋体" w:eastAsia="宋体" w:cs="宋体"/>
                <w:color w:val="000000" w:themeColor="text1"/>
                <w:kern w:val="0"/>
                <w:sz w:val="18"/>
                <w:szCs w:val="18"/>
                <w:highlight w:val="none"/>
                <w14:textFill>
                  <w14:solidFill>
                    <w14:schemeClr w14:val="tx1"/>
                  </w14:solidFill>
                </w14:textFill>
              </w:rPr>
            </w:pPr>
          </w:p>
        </w:tc>
        <w:tc>
          <w:tcPr>
            <w:tcW w:w="358" w:type="pct"/>
            <w:tcBorders>
              <w:top w:val="dashed" w:color="000000" w:sz="4" w:space="0"/>
              <w:left w:val="dashed" w:color="auto" w:sz="4" w:space="0"/>
              <w:bottom w:val="dashed" w:color="000000" w:sz="4" w:space="0"/>
              <w:right w:val="dashed" w:color="auto" w:sz="4" w:space="0"/>
            </w:tcBorders>
            <w:vAlign w:val="center"/>
          </w:tcPr>
          <w:p>
            <w:pPr>
              <w:widowControl/>
              <w:ind w:firstLine="360" w:firstLineChars="200"/>
              <w:jc w:val="center"/>
              <w:rPr>
                <w:rFonts w:hint="eastAsia" w:ascii="宋体" w:hAnsi="宋体" w:eastAsia="宋体" w:cs="宋体"/>
                <w:color w:val="000000" w:themeColor="text1"/>
                <w:kern w:val="0"/>
                <w:sz w:val="18"/>
                <w:szCs w:val="18"/>
                <w:highlight w:val="none"/>
                <w14:textFill>
                  <w14:solidFill>
                    <w14:schemeClr w14:val="tx1"/>
                  </w14:solidFill>
                </w14:textFill>
              </w:rPr>
            </w:pPr>
          </w:p>
        </w:tc>
        <w:tc>
          <w:tcPr>
            <w:tcW w:w="360" w:type="pct"/>
            <w:tcBorders>
              <w:top w:val="dashed" w:color="000000" w:sz="4" w:space="0"/>
              <w:left w:val="dashed" w:color="auto" w:sz="4" w:space="0"/>
              <w:bottom w:val="dashed" w:color="000000" w:sz="4" w:space="0"/>
              <w:right w:val="dashed" w:color="auto" w:sz="4" w:space="0"/>
            </w:tcBorders>
            <w:vAlign w:val="center"/>
          </w:tcPr>
          <w:p>
            <w:pPr>
              <w:widowControl/>
              <w:jc w:val="center"/>
              <w:rPr>
                <w:rFonts w:hint="eastAsia" w:ascii="宋体" w:hAnsi="宋体" w:eastAsia="宋体" w:cs="宋体"/>
                <w:color w:val="000000" w:themeColor="text1"/>
                <w:kern w:val="0"/>
                <w:sz w:val="18"/>
                <w:szCs w:val="18"/>
                <w:highlight w:val="none"/>
                <w14:textFill>
                  <w14:solidFill>
                    <w14:schemeClr w14:val="tx1"/>
                  </w14:solidFill>
                </w14:textFill>
              </w:rPr>
            </w:pPr>
          </w:p>
        </w:tc>
        <w:tc>
          <w:tcPr>
            <w:tcW w:w="302" w:type="pct"/>
            <w:tcBorders>
              <w:top w:val="dashed" w:color="000000" w:sz="4" w:space="0"/>
              <w:left w:val="dashed" w:color="auto" w:sz="4" w:space="0"/>
              <w:bottom w:val="dashed" w:color="000000" w:sz="4" w:space="0"/>
              <w:right w:val="dashed" w:color="auto" w:sz="4" w:space="0"/>
            </w:tcBorders>
            <w:vAlign w:val="center"/>
          </w:tcPr>
          <w:p>
            <w:pPr>
              <w:widowControl/>
              <w:jc w:val="center"/>
              <w:rPr>
                <w:rFonts w:hint="eastAsia" w:ascii="宋体" w:hAnsi="宋体" w:eastAsia="宋体" w:cs="宋体"/>
                <w:color w:val="000000" w:themeColor="text1"/>
                <w:kern w:val="0"/>
                <w:sz w:val="18"/>
                <w:szCs w:val="18"/>
                <w:highlight w:val="none"/>
                <w14:textFill>
                  <w14:solidFill>
                    <w14:schemeClr w14:val="tx1"/>
                  </w14:solidFill>
                </w14:textFill>
              </w:rPr>
            </w:pPr>
          </w:p>
        </w:tc>
        <w:tc>
          <w:tcPr>
            <w:tcW w:w="310" w:type="pct"/>
            <w:tcBorders>
              <w:top w:val="dashed" w:color="000000" w:sz="4" w:space="0"/>
              <w:left w:val="dashed" w:color="auto" w:sz="4" w:space="0"/>
              <w:bottom w:val="dashed" w:color="000000" w:sz="4" w:space="0"/>
              <w:right w:val="nil"/>
            </w:tcBorders>
            <w:vAlign w:val="center"/>
          </w:tcPr>
          <w:p>
            <w:pPr>
              <w:widowControl/>
              <w:ind w:firstLine="360" w:firstLineChars="200"/>
              <w:jc w:val="center"/>
              <w:rPr>
                <w:rFonts w:hint="eastAsia" w:ascii="宋体" w:hAnsi="宋体" w:eastAsia="宋体" w:cs="宋体"/>
                <w:color w:val="000000" w:themeColor="text1"/>
                <w:kern w:val="0"/>
                <w:sz w:val="18"/>
                <w:szCs w:val="1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19" w:type="pct"/>
            <w:gridSpan w:val="3"/>
            <w:tcBorders>
              <w:top w:val="dashed" w:color="000000" w:sz="4" w:space="0"/>
              <w:left w:val="nil"/>
              <w:bottom w:val="dashed" w:color="000000" w:sz="4" w:space="0"/>
              <w:right w:val="dashed" w:color="auto" w:sz="4" w:space="0"/>
            </w:tcBorders>
            <w:vAlign w:val="center"/>
          </w:tcPr>
          <w:p>
            <w:pPr>
              <w:widowControl/>
              <w:jc w:val="center"/>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kern w:val="0"/>
                <w:sz w:val="18"/>
                <w:szCs w:val="18"/>
                <w:highlight w:val="none"/>
                <w14:textFill>
                  <w14:solidFill>
                    <w14:schemeClr w14:val="tx1"/>
                  </w14:solidFill>
                </w14:textFill>
              </w:rPr>
              <w:t>未达到计划进度原因（分具体募投项目）</w:t>
            </w:r>
          </w:p>
        </w:tc>
        <w:tc>
          <w:tcPr>
            <w:tcW w:w="3480" w:type="pct"/>
            <w:gridSpan w:val="10"/>
            <w:tcBorders>
              <w:top w:val="dashed" w:color="000000" w:sz="4" w:space="0"/>
              <w:left w:val="dashed" w:color="auto" w:sz="4" w:space="0"/>
              <w:bottom w:val="dashed" w:color="000000" w:sz="4" w:space="0"/>
              <w:right w:val="nil"/>
            </w:tcBorders>
            <w:vAlign w:val="center"/>
          </w:tcPr>
          <w:p>
            <w:pPr>
              <w:widowControl/>
              <w:ind w:firstLine="360" w:firstLineChars="200"/>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kern w:val="0"/>
                <w:sz w:val="18"/>
                <w:szCs w:val="18"/>
                <w:highlight w:val="none"/>
                <w14:textFill>
                  <w14:solidFill>
                    <w14:schemeClr w14:val="tx1"/>
                  </w14:solidFill>
                </w14:textFill>
              </w:rPr>
              <w:t>注</w:t>
            </w:r>
            <w:r>
              <w:rPr>
                <w:rFonts w:hint="eastAsia" w:ascii="宋体" w:hAnsi="宋体" w:eastAsia="宋体" w:cs="宋体"/>
                <w:color w:val="000000" w:themeColor="text1"/>
                <w:sz w:val="18"/>
                <w:szCs w:val="18"/>
                <w:highlight w:val="none"/>
                <w14:textFill>
                  <w14:solidFill>
                    <w14:schemeClr w14:val="tx1"/>
                  </w14:solidFill>
                </w14:textFill>
              </w:rPr>
              <w:t>1</w:t>
            </w:r>
            <w:r>
              <w:rPr>
                <w:rFonts w:hint="eastAsia" w:ascii="宋体" w:hAnsi="宋体" w:eastAsia="宋体" w:cs="宋体"/>
                <w:color w:val="000000" w:themeColor="text1"/>
                <w:kern w:val="0"/>
                <w:sz w:val="18"/>
                <w:szCs w:val="18"/>
                <w:highlight w:val="none"/>
                <w14:textFill>
                  <w14:solidFill>
                    <w14:schemeClr w14:val="tx1"/>
                  </w14:solidFill>
                </w14:textFill>
              </w:rPr>
              <w:t>：药品自动化立体仓库项目未达到计划进度，原因为由于项目可行性发生变化，公司不再进行仓库二期投入。</w:t>
            </w:r>
          </w:p>
          <w:p>
            <w:pPr>
              <w:widowControl/>
              <w:ind w:firstLine="360" w:firstLineChars="200"/>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kern w:val="0"/>
                <w:sz w:val="18"/>
                <w:szCs w:val="18"/>
                <w:highlight w:val="none"/>
                <w14:textFill>
                  <w14:solidFill>
                    <w14:schemeClr w14:val="tx1"/>
                  </w14:solidFill>
                </w14:textFill>
              </w:rPr>
              <w:t>注</w:t>
            </w:r>
            <w:r>
              <w:rPr>
                <w:rFonts w:hint="eastAsia" w:ascii="宋体" w:hAnsi="宋体" w:eastAsia="宋体" w:cs="宋体"/>
                <w:color w:val="000000" w:themeColor="text1"/>
                <w:sz w:val="18"/>
                <w:szCs w:val="18"/>
                <w:highlight w:val="none"/>
                <w14:textFill>
                  <w14:solidFill>
                    <w14:schemeClr w14:val="tx1"/>
                  </w14:solidFill>
                </w14:textFill>
              </w:rPr>
              <w:t>6</w:t>
            </w:r>
            <w:r>
              <w:rPr>
                <w:rFonts w:hint="eastAsia" w:ascii="宋体" w:hAnsi="宋体" w:eastAsia="宋体" w:cs="宋体"/>
                <w:color w:val="000000" w:themeColor="text1"/>
                <w:kern w:val="0"/>
                <w:sz w:val="18"/>
                <w:szCs w:val="18"/>
                <w:highlight w:val="none"/>
                <w14:textFill>
                  <w14:solidFill>
                    <w14:schemeClr w14:val="tx1"/>
                  </w14:solidFill>
                </w14:textFill>
              </w:rPr>
              <w:t>：国家一类生物抗癌新药重组人血管内皮抑素注射液研发项目，</w:t>
            </w:r>
            <w:r>
              <w:rPr>
                <w:rFonts w:hint="eastAsia" w:ascii="宋体" w:hAnsi="宋体" w:eastAsia="宋体" w:cs="宋体"/>
                <w:color w:val="000000" w:themeColor="text1"/>
                <w:sz w:val="18"/>
                <w:szCs w:val="18"/>
                <w:highlight w:val="none"/>
                <w14:textFill>
                  <w14:solidFill>
                    <w14:schemeClr w14:val="tx1"/>
                  </w14:solidFill>
                </w14:textFill>
              </w:rPr>
              <w:t>2019</w:t>
            </w:r>
            <w:r>
              <w:rPr>
                <w:rFonts w:hint="eastAsia" w:ascii="宋体" w:hAnsi="宋体" w:eastAsia="宋体" w:cs="宋体"/>
                <w:color w:val="000000" w:themeColor="text1"/>
                <w:kern w:val="0"/>
                <w:sz w:val="18"/>
                <w:szCs w:val="18"/>
                <w:highlight w:val="none"/>
                <w14:textFill>
                  <w14:solidFill>
                    <w14:schemeClr w14:val="tx1"/>
                  </w14:solidFill>
                </w14:textFill>
              </w:rPr>
              <w:t>年未达到计划进度，原因为江苏吴中医药集团有限公司向审评中心提出了药品注册撤回申请并获得批准。由于项目可行性发生变化，公司不再使用募集资金进行投入。</w:t>
            </w:r>
          </w:p>
          <w:p>
            <w:pPr>
              <w:widowControl/>
              <w:ind w:firstLine="360" w:firstLineChars="200"/>
              <w:rPr>
                <w:rFonts w:hint="eastAsia" w:ascii="宋体" w:hAnsi="宋体" w:eastAsia="宋体" w:cs="宋体"/>
                <w:sz w:val="18"/>
                <w:szCs w:val="18"/>
                <w:highlight w:val="none"/>
              </w:rPr>
            </w:pPr>
            <w:r>
              <w:rPr>
                <w:rFonts w:hint="eastAsia" w:ascii="宋体" w:hAnsi="宋体" w:eastAsia="宋体" w:cs="宋体"/>
                <w:color w:val="000000" w:themeColor="text1"/>
                <w:kern w:val="0"/>
                <w:sz w:val="18"/>
                <w:szCs w:val="18"/>
                <w:highlight w:val="none"/>
                <w14:textFill>
                  <w14:solidFill>
                    <w14:schemeClr w14:val="tx1"/>
                  </w14:solidFill>
                </w14:textFill>
              </w:rPr>
              <w:t>注8：公司原料药二期项目分两期实施，一期为扩建工业用房，二期为在厂房内建设多个生产车间。目前工业用房完成建设并取得不动产证。</w:t>
            </w:r>
            <w:r>
              <w:rPr>
                <w:rFonts w:hint="eastAsia" w:ascii="宋体" w:hAnsi="宋体" w:eastAsia="宋体" w:cs="宋体"/>
                <w:color w:val="000000" w:themeColor="text1"/>
                <w:sz w:val="18"/>
                <w:szCs w:val="18"/>
                <w:highlight w:val="none"/>
                <w14:textFill>
                  <w14:solidFill>
                    <w14:schemeClr w14:val="tx1"/>
                  </w14:solidFill>
                </w14:textFill>
              </w:rPr>
              <w:t>2023</w:t>
            </w:r>
            <w:r>
              <w:rPr>
                <w:rFonts w:hint="eastAsia" w:ascii="宋体" w:hAnsi="宋体" w:eastAsia="宋体" w:cs="宋体"/>
                <w:color w:val="000000" w:themeColor="text1"/>
                <w:kern w:val="0"/>
                <w:sz w:val="18"/>
                <w:szCs w:val="18"/>
                <w:highlight w:val="none"/>
                <w14:textFill>
                  <w14:solidFill>
                    <w14:schemeClr w14:val="tx1"/>
                  </w14:solidFill>
                </w14:textFill>
              </w:rPr>
              <w:t>年3月</w:t>
            </w:r>
            <w:r>
              <w:rPr>
                <w:rFonts w:hint="eastAsia" w:ascii="宋体" w:hAnsi="宋体" w:eastAsia="宋体" w:cs="宋体"/>
                <w:color w:val="000000" w:themeColor="text1"/>
                <w:sz w:val="18"/>
                <w:szCs w:val="18"/>
                <w:highlight w:val="none"/>
                <w14:textFill>
                  <w14:solidFill>
                    <w14:schemeClr w14:val="tx1"/>
                  </w14:solidFill>
                </w14:textFill>
              </w:rPr>
              <w:t>14</w:t>
            </w:r>
            <w:r>
              <w:rPr>
                <w:rFonts w:hint="eastAsia" w:ascii="宋体" w:hAnsi="宋体" w:eastAsia="宋体" w:cs="宋体"/>
                <w:color w:val="000000" w:themeColor="text1"/>
                <w:kern w:val="0"/>
                <w:sz w:val="18"/>
                <w:szCs w:val="18"/>
                <w:highlight w:val="none"/>
                <w14:textFill>
                  <w14:solidFill>
                    <w14:schemeClr w14:val="tx1"/>
                  </w14:solidFill>
                </w14:textFill>
              </w:rPr>
              <w:t>日</w:t>
            </w:r>
            <w:r>
              <w:rPr>
                <w:rFonts w:hint="eastAsia" w:ascii="宋体" w:hAnsi="宋体" w:eastAsia="宋体" w:cs="宋体"/>
                <w:color w:val="000000" w:themeColor="text1"/>
                <w:sz w:val="18"/>
                <w:szCs w:val="18"/>
                <w:highlight w:val="none"/>
                <w14:textFill>
                  <w14:solidFill>
                    <w14:schemeClr w14:val="tx1"/>
                  </w14:solidFill>
                </w14:textFill>
              </w:rPr>
              <w:t>3</w:t>
            </w:r>
            <w:r>
              <w:rPr>
                <w:rFonts w:hint="eastAsia" w:ascii="宋体" w:hAnsi="宋体" w:eastAsia="宋体" w:cs="宋体"/>
                <w:color w:val="000000" w:themeColor="text1"/>
                <w:kern w:val="0"/>
                <w:sz w:val="18"/>
                <w:szCs w:val="18"/>
                <w:highlight w:val="none"/>
                <w14:textFill>
                  <w14:solidFill>
                    <w14:schemeClr w14:val="tx1"/>
                  </w14:solidFill>
                </w14:textFill>
              </w:rPr>
              <w:t>月</w:t>
            </w:r>
            <w:r>
              <w:rPr>
                <w:rFonts w:hint="eastAsia" w:ascii="宋体" w:hAnsi="宋体" w:eastAsia="宋体" w:cs="宋体"/>
                <w:color w:val="000000" w:themeColor="text1"/>
                <w:sz w:val="18"/>
                <w:szCs w:val="18"/>
                <w:highlight w:val="none"/>
                <w14:textFill>
                  <w14:solidFill>
                    <w14:schemeClr w14:val="tx1"/>
                  </w14:solidFill>
                </w14:textFill>
              </w:rPr>
              <w:t>15</w:t>
            </w:r>
            <w:r>
              <w:rPr>
                <w:rFonts w:hint="eastAsia" w:ascii="宋体" w:hAnsi="宋体" w:eastAsia="宋体" w:cs="宋体"/>
                <w:color w:val="000000" w:themeColor="text1"/>
                <w:kern w:val="0"/>
                <w:sz w:val="18"/>
                <w:szCs w:val="18"/>
                <w:highlight w:val="none"/>
                <w14:textFill>
                  <w14:solidFill>
                    <w14:schemeClr w14:val="tx1"/>
                  </w14:solidFill>
                </w14:textFill>
              </w:rPr>
              <w:t>日已召开专家评审会。2023年4月17日收到环评批复。</w:t>
            </w:r>
            <w:r>
              <w:rPr>
                <w:rFonts w:hint="eastAsia" w:ascii="宋体" w:hAnsi="宋体" w:eastAsia="宋体" w:cs="宋体"/>
                <w:color w:val="000000"/>
                <w:kern w:val="0"/>
                <w:sz w:val="18"/>
                <w:szCs w:val="18"/>
                <w:highlight w:val="none"/>
              </w:rPr>
              <w:t>根据环评批复，公司目前正在进行项目技改。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19" w:type="pct"/>
            <w:gridSpan w:val="3"/>
            <w:tcBorders>
              <w:top w:val="dashed" w:color="000000" w:sz="4" w:space="0"/>
              <w:left w:val="nil"/>
              <w:bottom w:val="dashed" w:color="000000" w:sz="4" w:space="0"/>
              <w:right w:val="dashed" w:color="auto" w:sz="4" w:space="0"/>
            </w:tcBorders>
            <w:vAlign w:val="center"/>
          </w:tcPr>
          <w:p>
            <w:pPr>
              <w:widowControl/>
              <w:jc w:val="center"/>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kern w:val="0"/>
                <w:sz w:val="18"/>
                <w:szCs w:val="18"/>
                <w:highlight w:val="none"/>
                <w14:textFill>
                  <w14:solidFill>
                    <w14:schemeClr w14:val="tx1"/>
                  </w14:solidFill>
                </w14:textFill>
              </w:rPr>
              <w:t>项目可行性发生重大变化的情况说明</w:t>
            </w:r>
          </w:p>
        </w:tc>
        <w:tc>
          <w:tcPr>
            <w:tcW w:w="3480" w:type="pct"/>
            <w:gridSpan w:val="10"/>
            <w:tcBorders>
              <w:top w:val="dashed" w:color="000000" w:sz="4" w:space="0"/>
              <w:left w:val="dashed" w:color="auto" w:sz="4" w:space="0"/>
              <w:bottom w:val="dashed" w:color="000000" w:sz="4" w:space="0"/>
              <w:right w:val="nil"/>
            </w:tcBorders>
            <w:vAlign w:val="center"/>
          </w:tcPr>
          <w:p>
            <w:pPr>
              <w:widowControl/>
              <w:ind w:firstLine="360" w:firstLineChars="200"/>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kern w:val="0"/>
                <w:sz w:val="18"/>
                <w:szCs w:val="18"/>
                <w:highlight w:val="none"/>
                <w14:textFill>
                  <w14:solidFill>
                    <w14:schemeClr w14:val="tx1"/>
                  </w14:solidFill>
                </w14:textFill>
              </w:rPr>
              <w:t>注2:药品自动化立体仓库项目发生变化。</w:t>
            </w:r>
          </w:p>
          <w:p>
            <w:pPr>
              <w:widowControl/>
              <w:ind w:firstLine="360" w:firstLineChars="200"/>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kern w:val="0"/>
                <w:sz w:val="18"/>
                <w:szCs w:val="18"/>
                <w:highlight w:val="none"/>
                <w14:textFill>
                  <w14:solidFill>
                    <w14:schemeClr w14:val="tx1"/>
                  </w14:solidFill>
                </w14:textFill>
              </w:rPr>
              <w:t>公司在《江苏吴中实业股份有限公司三年发展战略规划（</w:t>
            </w:r>
            <w:r>
              <w:rPr>
                <w:rFonts w:hint="eastAsia" w:ascii="宋体" w:hAnsi="宋体" w:eastAsia="宋体" w:cs="宋体"/>
                <w:color w:val="000000" w:themeColor="text1"/>
                <w:sz w:val="18"/>
                <w:szCs w:val="18"/>
                <w:highlight w:val="none"/>
                <w14:textFill>
                  <w14:solidFill>
                    <w14:schemeClr w14:val="tx1"/>
                  </w14:solidFill>
                </w14:textFill>
              </w:rPr>
              <w:t>2017-2019</w:t>
            </w:r>
            <w:r>
              <w:rPr>
                <w:rFonts w:hint="eastAsia" w:ascii="宋体" w:hAnsi="宋体" w:eastAsia="宋体" w:cs="宋体"/>
                <w:color w:val="000000" w:themeColor="text1"/>
                <w:kern w:val="0"/>
                <w:sz w:val="18"/>
                <w:szCs w:val="18"/>
                <w:highlight w:val="none"/>
                <w14:textFill>
                  <w14:solidFill>
                    <w14:schemeClr w14:val="tx1"/>
                  </w14:solidFill>
                </w14:textFill>
              </w:rPr>
              <w:t>）》中对江苏吴中医药集团有限公司未来的商业配送整体规模进行了重新定位，明确了未来医药集团的商业配送业务将适度发展，首先满足公司自有工业产品的分销和配送，其次根据市场发展情况适度开展以苏州大市范围为主导市场的商业配送业务。未来三年公司规划的商业配送年销售收入不超过</w:t>
            </w:r>
            <w:r>
              <w:rPr>
                <w:rFonts w:hint="eastAsia" w:ascii="宋体" w:hAnsi="宋体" w:eastAsia="宋体" w:cs="宋体"/>
                <w:color w:val="000000" w:themeColor="text1"/>
                <w:sz w:val="18"/>
                <w:szCs w:val="18"/>
                <w:highlight w:val="none"/>
                <w14:textFill>
                  <w14:solidFill>
                    <w14:schemeClr w14:val="tx1"/>
                  </w14:solidFill>
                </w14:textFill>
              </w:rPr>
              <w:t>8</w:t>
            </w:r>
            <w:r>
              <w:rPr>
                <w:rFonts w:hint="eastAsia" w:ascii="宋体" w:hAnsi="宋体" w:eastAsia="宋体" w:cs="宋体"/>
                <w:color w:val="000000" w:themeColor="text1"/>
                <w:kern w:val="0"/>
                <w:sz w:val="18"/>
                <w:szCs w:val="18"/>
                <w:highlight w:val="none"/>
                <w14:textFill>
                  <w14:solidFill>
                    <w14:schemeClr w14:val="tx1"/>
                  </w14:solidFill>
                </w14:textFill>
              </w:rPr>
              <w:t>亿元。鉴于此，目前已竣工并投入使用的仓库一期项目已可满足设定的规模需求，公司不再进行二期投入。将剩余募集资金变更为“江苏吴中医药集团有限公司苏州制药厂原料药二期项目”（具体见公司于</w:t>
            </w:r>
            <w:r>
              <w:rPr>
                <w:rFonts w:hint="eastAsia" w:ascii="宋体" w:hAnsi="宋体" w:eastAsia="宋体" w:cs="宋体"/>
                <w:color w:val="000000" w:themeColor="text1"/>
                <w:sz w:val="18"/>
                <w:szCs w:val="18"/>
                <w:highlight w:val="none"/>
                <w14:textFill>
                  <w14:solidFill>
                    <w14:schemeClr w14:val="tx1"/>
                  </w14:solidFill>
                </w14:textFill>
              </w:rPr>
              <w:t>2017</w:t>
            </w:r>
            <w:r>
              <w:rPr>
                <w:rFonts w:hint="eastAsia" w:ascii="宋体" w:hAnsi="宋体" w:eastAsia="宋体" w:cs="宋体"/>
                <w:color w:val="000000" w:themeColor="text1"/>
                <w:kern w:val="0"/>
                <w:sz w:val="18"/>
                <w:szCs w:val="18"/>
                <w:highlight w:val="none"/>
                <w14:textFill>
                  <w14:solidFill>
                    <w14:schemeClr w14:val="tx1"/>
                  </w14:solidFill>
                </w14:textFill>
              </w:rPr>
              <w:t>年</w:t>
            </w:r>
            <w:r>
              <w:rPr>
                <w:rFonts w:hint="eastAsia" w:ascii="宋体" w:hAnsi="宋体" w:eastAsia="宋体" w:cs="宋体"/>
                <w:color w:val="000000" w:themeColor="text1"/>
                <w:sz w:val="18"/>
                <w:szCs w:val="18"/>
                <w:highlight w:val="none"/>
                <w14:textFill>
                  <w14:solidFill>
                    <w14:schemeClr w14:val="tx1"/>
                  </w14:solidFill>
                </w14:textFill>
              </w:rPr>
              <w:t>4</w:t>
            </w:r>
            <w:r>
              <w:rPr>
                <w:rFonts w:hint="eastAsia" w:ascii="宋体" w:hAnsi="宋体" w:eastAsia="宋体" w:cs="宋体"/>
                <w:color w:val="000000" w:themeColor="text1"/>
                <w:kern w:val="0"/>
                <w:sz w:val="18"/>
                <w:szCs w:val="18"/>
                <w:highlight w:val="none"/>
                <w14:textFill>
                  <w14:solidFill>
                    <w14:schemeClr w14:val="tx1"/>
                  </w14:solidFill>
                </w14:textFill>
              </w:rPr>
              <w:t>月</w:t>
            </w:r>
            <w:r>
              <w:rPr>
                <w:rFonts w:hint="eastAsia" w:ascii="宋体" w:hAnsi="宋体" w:eastAsia="宋体" w:cs="宋体"/>
                <w:color w:val="000000" w:themeColor="text1"/>
                <w:sz w:val="18"/>
                <w:szCs w:val="18"/>
                <w:highlight w:val="none"/>
                <w14:textFill>
                  <w14:solidFill>
                    <w14:schemeClr w14:val="tx1"/>
                  </w14:solidFill>
                </w14:textFill>
              </w:rPr>
              <w:t>28</w:t>
            </w:r>
            <w:r>
              <w:rPr>
                <w:rFonts w:hint="eastAsia" w:ascii="宋体" w:hAnsi="宋体" w:eastAsia="宋体" w:cs="宋体"/>
                <w:color w:val="000000" w:themeColor="text1"/>
                <w:kern w:val="0"/>
                <w:sz w:val="18"/>
                <w:szCs w:val="18"/>
                <w:highlight w:val="none"/>
                <w14:textFill>
                  <w14:solidFill>
                    <w14:schemeClr w14:val="tx1"/>
                  </w14:solidFill>
                </w14:textFill>
              </w:rPr>
              <w:t>日及</w:t>
            </w:r>
            <w:r>
              <w:rPr>
                <w:rFonts w:hint="eastAsia" w:ascii="宋体" w:hAnsi="宋体" w:eastAsia="宋体" w:cs="宋体"/>
                <w:color w:val="000000" w:themeColor="text1"/>
                <w:sz w:val="18"/>
                <w:szCs w:val="18"/>
                <w:highlight w:val="none"/>
                <w14:textFill>
                  <w14:solidFill>
                    <w14:schemeClr w14:val="tx1"/>
                  </w14:solidFill>
                </w14:textFill>
              </w:rPr>
              <w:t>5</w:t>
            </w:r>
            <w:r>
              <w:rPr>
                <w:rFonts w:hint="eastAsia" w:ascii="宋体" w:hAnsi="宋体" w:eastAsia="宋体" w:cs="宋体"/>
                <w:color w:val="000000" w:themeColor="text1"/>
                <w:kern w:val="0"/>
                <w:sz w:val="18"/>
                <w:szCs w:val="18"/>
                <w:highlight w:val="none"/>
                <w14:textFill>
                  <w14:solidFill>
                    <w14:schemeClr w14:val="tx1"/>
                  </w14:solidFill>
                </w14:textFill>
              </w:rPr>
              <w:t>月</w:t>
            </w:r>
            <w:r>
              <w:rPr>
                <w:rFonts w:hint="eastAsia" w:ascii="宋体" w:hAnsi="宋体" w:eastAsia="宋体" w:cs="宋体"/>
                <w:color w:val="000000" w:themeColor="text1"/>
                <w:sz w:val="18"/>
                <w:szCs w:val="18"/>
                <w:highlight w:val="none"/>
                <w14:textFill>
                  <w14:solidFill>
                    <w14:schemeClr w14:val="tx1"/>
                  </w14:solidFill>
                </w14:textFill>
              </w:rPr>
              <w:t>19</w:t>
            </w:r>
            <w:r>
              <w:rPr>
                <w:rFonts w:hint="eastAsia" w:ascii="宋体" w:hAnsi="宋体" w:eastAsia="宋体" w:cs="宋体"/>
                <w:color w:val="000000" w:themeColor="text1"/>
                <w:kern w:val="0"/>
                <w:sz w:val="18"/>
                <w:szCs w:val="18"/>
                <w:highlight w:val="none"/>
                <w14:textFill>
                  <w14:solidFill>
                    <w14:schemeClr w14:val="tx1"/>
                  </w14:solidFill>
                </w14:textFill>
              </w:rPr>
              <w:t>日在《中国证券报》《上海证券报》及上海证券交易所网站上披露的相关公告）。</w:t>
            </w:r>
          </w:p>
          <w:p>
            <w:pPr>
              <w:widowControl/>
              <w:ind w:firstLine="360" w:firstLineChars="200"/>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kern w:val="0"/>
                <w:sz w:val="18"/>
                <w:szCs w:val="18"/>
                <w:highlight w:val="none"/>
                <w14:textFill>
                  <w14:solidFill>
                    <w14:schemeClr w14:val="tx1"/>
                  </w14:solidFill>
                </w14:textFill>
              </w:rPr>
              <w:t>注7：国家一类生物抗癌新药重组人血管内皮抑素注射液研发项目发生变化。</w:t>
            </w:r>
          </w:p>
          <w:p>
            <w:pPr>
              <w:widowControl/>
              <w:ind w:firstLine="360" w:firstLineChars="200"/>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kern w:val="0"/>
                <w:sz w:val="18"/>
                <w:szCs w:val="18"/>
                <w:highlight w:val="none"/>
                <w14:textFill>
                  <w14:solidFill>
                    <w14:schemeClr w14:val="tx1"/>
                  </w14:solidFill>
                </w14:textFill>
              </w:rPr>
              <w:t>医药集团于2019年3月接到了国家药监局药品审评中心（以下简称“审评中心”）的技术审评部门发出的重组人血管内皮抑素注射液（</w:t>
            </w:r>
            <w:r>
              <w:rPr>
                <w:rFonts w:hint="eastAsia" w:ascii="宋体" w:hAnsi="宋体" w:eastAsia="宋体" w:cs="宋体"/>
                <w:color w:val="000000" w:themeColor="text1"/>
                <w:sz w:val="18"/>
                <w:szCs w:val="18"/>
                <w:highlight w:val="none"/>
                <w14:textFill>
                  <w14:solidFill>
                    <w14:schemeClr w14:val="tx1"/>
                  </w14:solidFill>
                </w14:textFill>
              </w:rPr>
              <w:t>CXSS1800005-1</w:t>
            </w:r>
            <w:r>
              <w:rPr>
                <w:rFonts w:hint="eastAsia" w:ascii="宋体" w:hAnsi="宋体" w:eastAsia="宋体" w:cs="宋体"/>
                <w:color w:val="000000" w:themeColor="text1"/>
                <w:kern w:val="0"/>
                <w:sz w:val="18"/>
                <w:szCs w:val="18"/>
                <w:highlight w:val="none"/>
                <w14:textFill>
                  <w14:solidFill>
                    <w14:schemeClr w14:val="tx1"/>
                  </w14:solidFill>
                </w14:textFill>
              </w:rPr>
              <w:t>）依据现有数据技术审评不予通过与申请人沟通交流报告的相关通知；公司于</w:t>
            </w:r>
            <w:r>
              <w:rPr>
                <w:rFonts w:hint="eastAsia" w:ascii="宋体" w:hAnsi="宋体" w:eastAsia="宋体" w:cs="宋体"/>
                <w:color w:val="000000" w:themeColor="text1"/>
                <w:sz w:val="18"/>
                <w:szCs w:val="18"/>
                <w:highlight w:val="none"/>
                <w14:textFill>
                  <w14:solidFill>
                    <w14:schemeClr w14:val="tx1"/>
                  </w14:solidFill>
                </w14:textFill>
              </w:rPr>
              <w:t>2019</w:t>
            </w:r>
            <w:r>
              <w:rPr>
                <w:rFonts w:hint="eastAsia" w:ascii="宋体" w:hAnsi="宋体" w:eastAsia="宋体" w:cs="宋体"/>
                <w:color w:val="000000" w:themeColor="text1"/>
                <w:kern w:val="0"/>
                <w:sz w:val="18"/>
                <w:szCs w:val="18"/>
                <w:highlight w:val="none"/>
                <w14:textFill>
                  <w14:solidFill>
                    <w14:schemeClr w14:val="tx1"/>
                  </w14:solidFill>
                </w14:textFill>
              </w:rPr>
              <w:t>年</w:t>
            </w:r>
            <w:r>
              <w:rPr>
                <w:rFonts w:hint="eastAsia" w:ascii="宋体" w:hAnsi="宋体" w:eastAsia="宋体" w:cs="宋体"/>
                <w:color w:val="000000" w:themeColor="text1"/>
                <w:sz w:val="18"/>
                <w:szCs w:val="18"/>
                <w:highlight w:val="none"/>
                <w14:textFill>
                  <w14:solidFill>
                    <w14:schemeClr w14:val="tx1"/>
                  </w14:solidFill>
                </w14:textFill>
              </w:rPr>
              <w:t>7</w:t>
            </w:r>
            <w:r>
              <w:rPr>
                <w:rFonts w:hint="eastAsia" w:ascii="宋体" w:hAnsi="宋体" w:eastAsia="宋体" w:cs="宋体"/>
                <w:color w:val="000000" w:themeColor="text1"/>
                <w:kern w:val="0"/>
                <w:sz w:val="18"/>
                <w:szCs w:val="18"/>
                <w:highlight w:val="none"/>
                <w14:textFill>
                  <w14:solidFill>
                    <w14:schemeClr w14:val="tx1"/>
                  </w14:solidFill>
                </w14:textFill>
              </w:rPr>
              <w:t>月</w:t>
            </w:r>
            <w:r>
              <w:rPr>
                <w:rFonts w:hint="eastAsia" w:ascii="宋体" w:hAnsi="宋体" w:eastAsia="宋体" w:cs="宋体"/>
                <w:color w:val="000000" w:themeColor="text1"/>
                <w:sz w:val="18"/>
                <w:szCs w:val="18"/>
                <w:highlight w:val="none"/>
                <w14:textFill>
                  <w14:solidFill>
                    <w14:schemeClr w14:val="tx1"/>
                  </w14:solidFill>
                </w14:textFill>
              </w:rPr>
              <w:t>5</w:t>
            </w:r>
            <w:r>
              <w:rPr>
                <w:rFonts w:hint="eastAsia" w:ascii="宋体" w:hAnsi="宋体" w:eastAsia="宋体" w:cs="宋体"/>
                <w:color w:val="000000" w:themeColor="text1"/>
                <w:kern w:val="0"/>
                <w:sz w:val="18"/>
                <w:szCs w:val="18"/>
                <w:highlight w:val="none"/>
                <w14:textFill>
                  <w14:solidFill>
                    <w14:schemeClr w14:val="tx1"/>
                  </w14:solidFill>
                </w14:textFill>
              </w:rPr>
              <w:t>日收到医药集团通知，经医药集团与审评中心充分沟通，为了后续拟开展该药品的肺鳞癌临床研究工作（在原三期临床批件基础上），同时结合国家最新有关药品的审评、审批政策，医药集团向审评中心提出了药品注册撤回申请，经审评中心申请人之窗系统查询知悉，当前品种技术审评建议结论为：终止审批程序；</w:t>
            </w:r>
            <w:r>
              <w:rPr>
                <w:rFonts w:hint="eastAsia" w:ascii="宋体" w:hAnsi="宋体" w:eastAsia="宋体" w:cs="宋体"/>
                <w:color w:val="000000" w:themeColor="text1"/>
                <w:sz w:val="18"/>
                <w:szCs w:val="18"/>
                <w:highlight w:val="none"/>
                <w14:textFill>
                  <w14:solidFill>
                    <w14:schemeClr w14:val="tx1"/>
                  </w14:solidFill>
                </w14:textFill>
              </w:rPr>
              <w:t>2019</w:t>
            </w:r>
            <w:r>
              <w:rPr>
                <w:rFonts w:hint="eastAsia" w:ascii="宋体" w:hAnsi="宋体" w:eastAsia="宋体" w:cs="宋体"/>
                <w:color w:val="000000" w:themeColor="text1"/>
                <w:kern w:val="0"/>
                <w:sz w:val="18"/>
                <w:szCs w:val="18"/>
                <w:highlight w:val="none"/>
                <w14:textFill>
                  <w14:solidFill>
                    <w14:schemeClr w14:val="tx1"/>
                  </w14:solidFill>
                </w14:textFill>
              </w:rPr>
              <w:t>年</w:t>
            </w:r>
            <w:r>
              <w:rPr>
                <w:rFonts w:hint="eastAsia" w:ascii="宋体" w:hAnsi="宋体" w:eastAsia="宋体" w:cs="宋体"/>
                <w:color w:val="000000" w:themeColor="text1"/>
                <w:sz w:val="18"/>
                <w:szCs w:val="18"/>
                <w:highlight w:val="none"/>
                <w14:textFill>
                  <w14:solidFill>
                    <w14:schemeClr w14:val="tx1"/>
                  </w14:solidFill>
                </w14:textFill>
              </w:rPr>
              <w:t>7</w:t>
            </w:r>
            <w:r>
              <w:rPr>
                <w:rFonts w:hint="eastAsia" w:ascii="宋体" w:hAnsi="宋体" w:eastAsia="宋体" w:cs="宋体"/>
                <w:color w:val="000000" w:themeColor="text1"/>
                <w:kern w:val="0"/>
                <w:sz w:val="18"/>
                <w:szCs w:val="18"/>
                <w:highlight w:val="none"/>
                <w14:textFill>
                  <w14:solidFill>
                    <w14:schemeClr w14:val="tx1"/>
                  </w14:solidFill>
                </w14:textFill>
              </w:rPr>
              <w:t>月</w:t>
            </w:r>
            <w:r>
              <w:rPr>
                <w:rFonts w:hint="eastAsia" w:ascii="宋体" w:hAnsi="宋体" w:eastAsia="宋体" w:cs="宋体"/>
                <w:color w:val="000000" w:themeColor="text1"/>
                <w:sz w:val="18"/>
                <w:szCs w:val="18"/>
                <w:highlight w:val="none"/>
                <w14:textFill>
                  <w14:solidFill>
                    <w14:schemeClr w14:val="tx1"/>
                  </w14:solidFill>
                </w14:textFill>
              </w:rPr>
              <w:t>19</w:t>
            </w:r>
            <w:r>
              <w:rPr>
                <w:rFonts w:hint="eastAsia" w:ascii="宋体" w:hAnsi="宋体" w:eastAsia="宋体" w:cs="宋体"/>
                <w:color w:val="000000" w:themeColor="text1"/>
                <w:kern w:val="0"/>
                <w:sz w:val="18"/>
                <w:szCs w:val="18"/>
                <w:highlight w:val="none"/>
                <w14:textFill>
                  <w14:solidFill>
                    <w14:schemeClr w14:val="tx1"/>
                  </w14:solidFill>
                </w14:textFill>
              </w:rPr>
              <w:t>日，公司收到了医药集团通知，江苏吴中医药集团有限公司下属分支机构苏州中凯生物制药厂收到了国家药品监督管理局下发的《审批意见通知件》，审批意见为根据申请人的撤回申请，同意本品注册申请撤回，终止注册程序。</w:t>
            </w:r>
          </w:p>
          <w:p>
            <w:pPr>
              <w:widowControl/>
              <w:ind w:firstLine="360" w:firstLineChars="200"/>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kern w:val="0"/>
                <w:sz w:val="18"/>
                <w:szCs w:val="18"/>
                <w:highlight w:val="none"/>
                <w14:textFill>
                  <w14:solidFill>
                    <w14:schemeClr w14:val="tx1"/>
                  </w14:solidFill>
                </w14:textFill>
              </w:rPr>
              <w:t>综合上述因素，为降低投资风险，提高募集资金使用效率，充分保证公司及全体股东的利益，公司拟对原募投项目“国家一类生物抗癌新药重组人血管内皮抑素注射液研发项目”进行变更。</w:t>
            </w:r>
          </w:p>
          <w:p>
            <w:pPr>
              <w:widowControl/>
              <w:ind w:firstLine="360" w:firstLineChars="200"/>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kern w:val="0"/>
                <w:sz w:val="18"/>
                <w:szCs w:val="18"/>
                <w:highlight w:val="none"/>
                <w14:textFill>
                  <w14:solidFill>
                    <w14:schemeClr w14:val="tx1"/>
                  </w14:solidFill>
                </w14:textFill>
              </w:rPr>
              <w:t>根据公司下属江苏吴中医药集团有限公司经营发展和实际生产需要，经公司第九届董事会第六次会议、公司第九届监事会第六次会议及</w:t>
            </w:r>
            <w:r>
              <w:rPr>
                <w:rFonts w:hint="eastAsia" w:ascii="宋体" w:hAnsi="宋体" w:eastAsia="宋体" w:cs="宋体"/>
                <w:color w:val="000000" w:themeColor="text1"/>
                <w:sz w:val="18"/>
                <w:szCs w:val="18"/>
                <w:highlight w:val="none"/>
                <w14:textFill>
                  <w14:solidFill>
                    <w14:schemeClr w14:val="tx1"/>
                  </w14:solidFill>
                </w14:textFill>
              </w:rPr>
              <w:t>2019</w:t>
            </w:r>
            <w:r>
              <w:rPr>
                <w:rFonts w:hint="eastAsia" w:ascii="宋体" w:hAnsi="宋体" w:eastAsia="宋体" w:cs="宋体"/>
                <w:color w:val="000000" w:themeColor="text1"/>
                <w:kern w:val="0"/>
                <w:sz w:val="18"/>
                <w:szCs w:val="18"/>
                <w:highlight w:val="none"/>
                <w14:textFill>
                  <w14:solidFill>
                    <w14:schemeClr w14:val="tx1"/>
                  </w14:solidFill>
                </w14:textFill>
              </w:rPr>
              <w:t>年第五次临时股东大会审议通过《江苏吴中实业股份有限公司关于变更部分募集资金投资项目的议案》，公司拟将原非公开发行的募集资金投资项目“国家一类生物抗癌新药重组人血管内皮抑素注射液研发项目”中部分未使用资金约</w:t>
            </w:r>
            <w:r>
              <w:rPr>
                <w:rFonts w:hint="eastAsia" w:ascii="宋体" w:hAnsi="宋体" w:eastAsia="宋体" w:cs="宋体"/>
                <w:color w:val="000000" w:themeColor="text1"/>
                <w:sz w:val="18"/>
                <w:szCs w:val="18"/>
                <w:highlight w:val="none"/>
                <w14:textFill>
                  <w14:solidFill>
                    <w14:schemeClr w14:val="tx1"/>
                  </w14:solidFill>
                </w14:textFill>
              </w:rPr>
              <w:t>12,055</w:t>
            </w:r>
            <w:r>
              <w:rPr>
                <w:rFonts w:hint="eastAsia" w:ascii="宋体" w:hAnsi="宋体" w:eastAsia="宋体" w:cs="宋体"/>
                <w:color w:val="000000" w:themeColor="text1"/>
                <w:kern w:val="0"/>
                <w:sz w:val="18"/>
                <w:szCs w:val="18"/>
                <w:highlight w:val="none"/>
                <w14:textFill>
                  <w14:solidFill>
                    <w14:schemeClr w14:val="tx1"/>
                  </w14:solidFill>
                </w14:textFill>
              </w:rPr>
              <w:t>万元（占募集资金总额</w:t>
            </w:r>
            <w:r>
              <w:rPr>
                <w:rFonts w:hint="eastAsia" w:ascii="宋体" w:hAnsi="宋体" w:eastAsia="宋体" w:cs="宋体"/>
                <w:color w:val="000000" w:themeColor="text1"/>
                <w:sz w:val="18"/>
                <w:szCs w:val="18"/>
                <w:highlight w:val="none"/>
                <w14:textFill>
                  <w14:solidFill>
                    <w14:schemeClr w14:val="tx1"/>
                  </w14:solidFill>
                </w14:textFill>
              </w:rPr>
              <w:t>23.46</w:t>
            </w:r>
            <w:r>
              <w:rPr>
                <w:rFonts w:hint="eastAsia" w:ascii="宋体" w:hAnsi="宋体" w:eastAsia="宋体" w:cs="宋体"/>
                <w:color w:val="000000" w:themeColor="text1"/>
                <w:kern w:val="0"/>
                <w:sz w:val="18"/>
                <w:szCs w:val="18"/>
                <w:highlight w:val="none"/>
                <w14:textFill>
                  <w14:solidFill>
                    <w14:schemeClr w14:val="tx1"/>
                  </w14:solidFill>
                </w14:textFill>
              </w:rPr>
              <w:t>%）进行变更，变更后的募集资金投向为抗肿瘤</w:t>
            </w:r>
            <w:r>
              <w:rPr>
                <w:rFonts w:hint="eastAsia" w:ascii="宋体" w:hAnsi="宋体" w:eastAsia="宋体" w:cs="宋体"/>
                <w:color w:val="000000" w:themeColor="text1"/>
                <w:sz w:val="18"/>
                <w:szCs w:val="18"/>
                <w:highlight w:val="none"/>
                <w14:textFill>
                  <w14:solidFill>
                    <w14:schemeClr w14:val="tx1"/>
                  </w14:solidFill>
                </w14:textFill>
              </w:rPr>
              <w:t>1</w:t>
            </w:r>
            <w:r>
              <w:rPr>
                <w:rFonts w:hint="eastAsia" w:ascii="宋体" w:hAnsi="宋体" w:eastAsia="宋体" w:cs="宋体"/>
                <w:color w:val="000000" w:themeColor="text1"/>
                <w:kern w:val="0"/>
                <w:sz w:val="18"/>
                <w:szCs w:val="18"/>
                <w:highlight w:val="none"/>
                <w14:textFill>
                  <w14:solidFill>
                    <w14:schemeClr w14:val="tx1"/>
                  </w14:solidFill>
                </w14:textFill>
              </w:rPr>
              <w:t>类新药</w:t>
            </w:r>
            <w:r>
              <w:rPr>
                <w:rFonts w:hint="eastAsia" w:ascii="宋体" w:hAnsi="宋体" w:eastAsia="宋体" w:cs="宋体"/>
                <w:color w:val="000000" w:themeColor="text1"/>
                <w:sz w:val="18"/>
                <w:szCs w:val="18"/>
                <w:highlight w:val="none"/>
                <w14:textFill>
                  <w14:solidFill>
                    <w14:schemeClr w14:val="tx1"/>
                  </w14:solidFill>
                </w14:textFill>
              </w:rPr>
              <w:t>YS001</w:t>
            </w:r>
            <w:r>
              <w:rPr>
                <w:rFonts w:hint="eastAsia" w:ascii="宋体" w:hAnsi="宋体" w:eastAsia="宋体" w:cs="宋体"/>
                <w:color w:val="000000" w:themeColor="text1"/>
                <w:kern w:val="0"/>
                <w:sz w:val="18"/>
                <w:szCs w:val="18"/>
                <w:highlight w:val="none"/>
                <w14:textFill>
                  <w14:solidFill>
                    <w14:schemeClr w14:val="tx1"/>
                  </w14:solidFill>
                </w14:textFill>
              </w:rPr>
              <w:t>的研发、西洛他唑等上市化学仿制药的一致性评价、利奈唑胺与沃诺拉赞的仿制。（具体见公司于</w:t>
            </w:r>
            <w:r>
              <w:rPr>
                <w:rFonts w:hint="eastAsia" w:ascii="宋体" w:hAnsi="宋体" w:eastAsia="宋体" w:cs="宋体"/>
                <w:color w:val="000000" w:themeColor="text1"/>
                <w:sz w:val="18"/>
                <w:szCs w:val="18"/>
                <w:highlight w:val="none"/>
                <w14:textFill>
                  <w14:solidFill>
                    <w14:schemeClr w14:val="tx1"/>
                  </w14:solidFill>
                </w14:textFill>
              </w:rPr>
              <w:t>2019</w:t>
            </w:r>
            <w:r>
              <w:rPr>
                <w:rFonts w:hint="eastAsia" w:ascii="宋体" w:hAnsi="宋体" w:eastAsia="宋体" w:cs="宋体"/>
                <w:color w:val="000000" w:themeColor="text1"/>
                <w:kern w:val="0"/>
                <w:sz w:val="18"/>
                <w:szCs w:val="18"/>
                <w:highlight w:val="none"/>
                <w14:textFill>
                  <w14:solidFill>
                    <w14:schemeClr w14:val="tx1"/>
                  </w14:solidFill>
                </w14:textFill>
              </w:rPr>
              <w:t>年</w:t>
            </w:r>
            <w:r>
              <w:rPr>
                <w:rFonts w:hint="eastAsia" w:ascii="宋体" w:hAnsi="宋体" w:eastAsia="宋体" w:cs="宋体"/>
                <w:color w:val="000000" w:themeColor="text1"/>
                <w:sz w:val="18"/>
                <w:szCs w:val="18"/>
                <w:highlight w:val="none"/>
                <w14:textFill>
                  <w14:solidFill>
                    <w14:schemeClr w14:val="tx1"/>
                  </w14:solidFill>
                </w14:textFill>
              </w:rPr>
              <w:t>8</w:t>
            </w:r>
            <w:r>
              <w:rPr>
                <w:rFonts w:hint="eastAsia" w:ascii="宋体" w:hAnsi="宋体" w:eastAsia="宋体" w:cs="宋体"/>
                <w:color w:val="000000" w:themeColor="text1"/>
                <w:kern w:val="0"/>
                <w:sz w:val="18"/>
                <w:szCs w:val="18"/>
                <w:highlight w:val="none"/>
                <w14:textFill>
                  <w14:solidFill>
                    <w14:schemeClr w14:val="tx1"/>
                  </w14:solidFill>
                </w14:textFill>
              </w:rPr>
              <w:t>月</w:t>
            </w:r>
            <w:r>
              <w:rPr>
                <w:rFonts w:hint="eastAsia" w:ascii="宋体" w:hAnsi="宋体" w:eastAsia="宋体" w:cs="宋体"/>
                <w:color w:val="000000" w:themeColor="text1"/>
                <w:sz w:val="18"/>
                <w:szCs w:val="18"/>
                <w:highlight w:val="none"/>
                <w14:textFill>
                  <w14:solidFill>
                    <w14:schemeClr w14:val="tx1"/>
                  </w14:solidFill>
                </w14:textFill>
              </w:rPr>
              <w:t>23</w:t>
            </w:r>
            <w:r>
              <w:rPr>
                <w:rFonts w:hint="eastAsia" w:ascii="宋体" w:hAnsi="宋体" w:eastAsia="宋体" w:cs="宋体"/>
                <w:color w:val="000000" w:themeColor="text1"/>
                <w:kern w:val="0"/>
                <w:sz w:val="18"/>
                <w:szCs w:val="18"/>
                <w:highlight w:val="none"/>
                <w14:textFill>
                  <w14:solidFill>
                    <w14:schemeClr w14:val="tx1"/>
                  </w14:solidFill>
                </w14:textFill>
              </w:rPr>
              <w:t>日、</w:t>
            </w:r>
            <w:r>
              <w:rPr>
                <w:rFonts w:hint="eastAsia" w:ascii="宋体" w:hAnsi="宋体" w:eastAsia="宋体" w:cs="宋体"/>
                <w:color w:val="000000" w:themeColor="text1"/>
                <w:sz w:val="18"/>
                <w:szCs w:val="18"/>
                <w:highlight w:val="none"/>
                <w14:textFill>
                  <w14:solidFill>
                    <w14:schemeClr w14:val="tx1"/>
                  </w14:solidFill>
                </w14:textFill>
              </w:rPr>
              <w:t>2019</w:t>
            </w:r>
            <w:r>
              <w:rPr>
                <w:rFonts w:hint="eastAsia" w:ascii="宋体" w:hAnsi="宋体" w:eastAsia="宋体" w:cs="宋体"/>
                <w:color w:val="000000" w:themeColor="text1"/>
                <w:kern w:val="0"/>
                <w:sz w:val="18"/>
                <w:szCs w:val="18"/>
                <w:highlight w:val="none"/>
                <w14:textFill>
                  <w14:solidFill>
                    <w14:schemeClr w14:val="tx1"/>
                  </w14:solidFill>
                </w14:textFill>
              </w:rPr>
              <w:t>年</w:t>
            </w:r>
            <w:r>
              <w:rPr>
                <w:rFonts w:hint="eastAsia" w:ascii="宋体" w:hAnsi="宋体" w:eastAsia="宋体" w:cs="宋体"/>
                <w:color w:val="000000" w:themeColor="text1"/>
                <w:sz w:val="18"/>
                <w:szCs w:val="18"/>
                <w:highlight w:val="none"/>
                <w14:textFill>
                  <w14:solidFill>
                    <w14:schemeClr w14:val="tx1"/>
                  </w14:solidFill>
                </w14:textFill>
              </w:rPr>
              <w:t>9</w:t>
            </w:r>
            <w:r>
              <w:rPr>
                <w:rFonts w:hint="eastAsia" w:ascii="宋体" w:hAnsi="宋体" w:eastAsia="宋体" w:cs="宋体"/>
                <w:color w:val="000000" w:themeColor="text1"/>
                <w:kern w:val="0"/>
                <w:sz w:val="18"/>
                <w:szCs w:val="18"/>
                <w:highlight w:val="none"/>
                <w14:textFill>
                  <w14:solidFill>
                    <w14:schemeClr w14:val="tx1"/>
                  </w14:solidFill>
                </w14:textFill>
              </w:rPr>
              <w:t>月</w:t>
            </w:r>
            <w:r>
              <w:rPr>
                <w:rFonts w:hint="eastAsia" w:ascii="宋体" w:hAnsi="宋体" w:eastAsia="宋体" w:cs="宋体"/>
                <w:color w:val="000000" w:themeColor="text1"/>
                <w:sz w:val="18"/>
                <w:szCs w:val="18"/>
                <w:highlight w:val="none"/>
                <w14:textFill>
                  <w14:solidFill>
                    <w14:schemeClr w14:val="tx1"/>
                  </w14:solidFill>
                </w14:textFill>
              </w:rPr>
              <w:t>11</w:t>
            </w:r>
            <w:r>
              <w:rPr>
                <w:rFonts w:hint="eastAsia" w:ascii="宋体" w:hAnsi="宋体" w:eastAsia="宋体" w:cs="宋体"/>
                <w:color w:val="000000" w:themeColor="text1"/>
                <w:kern w:val="0"/>
                <w:sz w:val="18"/>
                <w:szCs w:val="18"/>
                <w:highlight w:val="none"/>
                <w14:textFill>
                  <w14:solidFill>
                    <w14:schemeClr w14:val="tx1"/>
                  </w14:solidFill>
                </w14:textFill>
              </w:rPr>
              <w:t>日在《中国证券报》、《上海证券报》及上海证券交易所网站上披露的相关公告）</w:t>
            </w:r>
          </w:p>
          <w:p>
            <w:pPr>
              <w:widowControl/>
              <w:ind w:firstLine="360" w:firstLineChars="200"/>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kern w:val="0"/>
                <w:sz w:val="18"/>
                <w:szCs w:val="18"/>
                <w:highlight w:val="none"/>
                <w14:textFill>
                  <w14:solidFill>
                    <w14:schemeClr w14:val="tx1"/>
                  </w14:solidFill>
                </w14:textFill>
              </w:rPr>
              <w:t>注</w:t>
            </w:r>
            <w:r>
              <w:rPr>
                <w:rFonts w:hint="eastAsia" w:ascii="宋体" w:hAnsi="宋体" w:eastAsia="宋体" w:cs="宋体"/>
                <w:color w:val="000000" w:themeColor="text1"/>
                <w:sz w:val="18"/>
                <w:szCs w:val="18"/>
                <w:highlight w:val="none"/>
                <w14:textFill>
                  <w14:solidFill>
                    <w14:schemeClr w14:val="tx1"/>
                  </w14:solidFill>
                </w14:textFill>
              </w:rPr>
              <w:t>9</w:t>
            </w:r>
            <w:r>
              <w:rPr>
                <w:rFonts w:hint="eastAsia" w:ascii="宋体" w:hAnsi="宋体" w:eastAsia="宋体" w:cs="宋体"/>
                <w:color w:val="000000" w:themeColor="text1"/>
                <w:kern w:val="0"/>
                <w:sz w:val="18"/>
                <w:szCs w:val="18"/>
                <w:highlight w:val="none"/>
                <w14:textFill>
                  <w14:solidFill>
                    <w14:schemeClr w14:val="tx1"/>
                  </w14:solidFill>
                </w14:textFill>
              </w:rPr>
              <w:t xml:space="preserve">：“西洛他唑等上市化学仿制药的一致性评价项目”中的西洛他唑片、利奈唑胺葡萄糖注射液、注射用艾司奥美拉唑钠 </w:t>
            </w:r>
            <w:r>
              <w:rPr>
                <w:rFonts w:hint="eastAsia" w:ascii="宋体" w:hAnsi="宋体" w:eastAsia="宋体" w:cs="宋体"/>
                <w:color w:val="000000" w:themeColor="text1"/>
                <w:sz w:val="18"/>
                <w:szCs w:val="18"/>
                <w:highlight w:val="none"/>
                <w14:textFill>
                  <w14:solidFill>
                    <w14:schemeClr w14:val="tx1"/>
                  </w14:solidFill>
                </w14:textFill>
              </w:rPr>
              <w:t>3</w:t>
            </w:r>
            <w:r>
              <w:rPr>
                <w:rFonts w:hint="eastAsia" w:ascii="宋体" w:hAnsi="宋体" w:eastAsia="宋体" w:cs="宋体"/>
                <w:color w:val="000000" w:themeColor="text1"/>
                <w:kern w:val="0"/>
                <w:sz w:val="18"/>
                <w:szCs w:val="18"/>
                <w:highlight w:val="none"/>
                <w14:textFill>
                  <w14:solidFill>
                    <w14:schemeClr w14:val="tx1"/>
                  </w14:solidFill>
                </w14:textFill>
              </w:rPr>
              <w:t>个子研发项目，以及“利奈唑胺与沃诺拉赞的仿制项目”中的利奈唑胺片剂的仿制、沃诺拉赞片剂的仿制</w:t>
            </w:r>
            <w:r>
              <w:rPr>
                <w:rFonts w:hint="eastAsia" w:ascii="宋体" w:hAnsi="宋体" w:eastAsia="宋体" w:cs="宋体"/>
                <w:color w:val="000000" w:themeColor="text1"/>
                <w:sz w:val="18"/>
                <w:szCs w:val="18"/>
                <w:highlight w:val="none"/>
                <w14:textFill>
                  <w14:solidFill>
                    <w14:schemeClr w14:val="tx1"/>
                  </w14:solidFill>
                </w14:textFill>
              </w:rPr>
              <w:t>2</w:t>
            </w:r>
            <w:r>
              <w:rPr>
                <w:rFonts w:hint="eastAsia" w:ascii="宋体" w:hAnsi="宋体" w:eastAsia="宋体" w:cs="宋体"/>
                <w:color w:val="000000" w:themeColor="text1"/>
                <w:kern w:val="0"/>
                <w:sz w:val="18"/>
                <w:szCs w:val="18"/>
                <w:highlight w:val="none"/>
                <w14:textFill>
                  <w14:solidFill>
                    <w14:schemeClr w14:val="tx1"/>
                  </w14:solidFill>
                </w14:textFill>
              </w:rPr>
              <w:t>个子研发项目发生变化。</w:t>
            </w:r>
          </w:p>
          <w:p>
            <w:pPr>
              <w:widowControl/>
              <w:ind w:firstLine="360" w:firstLineChars="200"/>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kern w:val="0"/>
                <w:sz w:val="18"/>
                <w:szCs w:val="18"/>
                <w:highlight w:val="none"/>
                <w14:textFill>
                  <w14:solidFill>
                    <w14:schemeClr w14:val="tx1"/>
                  </w14:solidFill>
                </w14:textFill>
              </w:rPr>
              <w:t>上述研发项目主要是受政策法规、市场环境及项目进度的影响，其中拟变更西洛他唑片一致性评价是由于国家药监局（NMPA）公布的参比制剂已退市，公司无法获取参比制剂；拟变更利奈唑胺葡萄糖注射液一致性评价、注射用艾司奥美拉唑钠一致性评价、利奈唑胺片剂的仿制、沃诺拉赞片剂的仿制主要是由于上述产品同质化竞争严重，进入集中采购的可能性也比较大，而公司的研发进度又相对落后。因此，为提高募集资金使用效率、降低公司财务费用、避免增加投资损失，结合公司实际生产经营需要，本着维护全体股东利益的原则，经审慎研究论证后，公司决定终止上述研发项目，并将剩余的募集资金用于永久补充流动资金。剩余的募集资金</w:t>
            </w:r>
            <w:r>
              <w:rPr>
                <w:rFonts w:hint="eastAsia" w:ascii="宋体" w:hAnsi="宋体" w:eastAsia="宋体" w:cs="宋体"/>
                <w:color w:val="000000" w:themeColor="text1"/>
                <w:sz w:val="18"/>
                <w:szCs w:val="18"/>
                <w:highlight w:val="none"/>
                <w14:textFill>
                  <w14:solidFill>
                    <w14:schemeClr w14:val="tx1"/>
                  </w14:solidFill>
                </w14:textFill>
              </w:rPr>
              <w:t>5</w:t>
            </w:r>
            <w:r>
              <w:rPr>
                <w:rFonts w:hint="eastAsia" w:ascii="宋体" w:hAnsi="宋体" w:eastAsia="宋体" w:cs="宋体"/>
                <w:color w:val="000000" w:themeColor="text1"/>
                <w:kern w:val="0"/>
                <w:sz w:val="18"/>
                <w:szCs w:val="18"/>
                <w:highlight w:val="none"/>
                <w14:textFill>
                  <w14:solidFill>
                    <w14:schemeClr w14:val="tx1"/>
                  </w14:solidFill>
                </w14:textFill>
              </w:rPr>
              <w:t>,</w:t>
            </w:r>
            <w:r>
              <w:rPr>
                <w:rFonts w:hint="eastAsia" w:ascii="宋体" w:hAnsi="宋体" w:eastAsia="宋体" w:cs="宋体"/>
                <w:color w:val="000000" w:themeColor="text1"/>
                <w:sz w:val="18"/>
                <w:szCs w:val="18"/>
                <w:highlight w:val="none"/>
                <w14:textFill>
                  <w14:solidFill>
                    <w14:schemeClr w14:val="tx1"/>
                  </w14:solidFill>
                </w14:textFill>
              </w:rPr>
              <w:t>602</w:t>
            </w:r>
            <w:r>
              <w:rPr>
                <w:rFonts w:hint="eastAsia" w:ascii="宋体" w:hAnsi="宋体" w:eastAsia="宋体" w:cs="宋体"/>
                <w:color w:val="000000" w:themeColor="text1"/>
                <w:kern w:val="0"/>
                <w:sz w:val="18"/>
                <w:szCs w:val="18"/>
                <w:highlight w:val="none"/>
                <w14:textFill>
                  <w14:solidFill>
                    <w14:schemeClr w14:val="tx1"/>
                  </w14:solidFill>
                </w14:textFill>
              </w:rPr>
              <w:t>万元及利息收入永久补充流动资金，用于公司日常经营活动，本次变更用途的募集资金金额占公司募集资金净额的</w:t>
            </w:r>
            <w:r>
              <w:rPr>
                <w:rFonts w:hint="eastAsia" w:ascii="宋体" w:hAnsi="宋体" w:eastAsia="宋体" w:cs="宋体"/>
                <w:color w:val="000000" w:themeColor="text1"/>
                <w:sz w:val="18"/>
                <w:szCs w:val="18"/>
                <w:highlight w:val="none"/>
                <w14:textFill>
                  <w14:solidFill>
                    <w14:schemeClr w14:val="tx1"/>
                  </w14:solidFill>
                </w14:textFill>
              </w:rPr>
              <w:t>11</w:t>
            </w:r>
            <w:r>
              <w:rPr>
                <w:rFonts w:hint="eastAsia" w:ascii="宋体" w:hAnsi="宋体" w:eastAsia="宋体" w:cs="宋体"/>
                <w:color w:val="000000" w:themeColor="text1"/>
                <w:kern w:val="0"/>
                <w:sz w:val="18"/>
                <w:szCs w:val="18"/>
                <w:highlight w:val="none"/>
                <w14:textFill>
                  <w14:solidFill>
                    <w14:schemeClr w14:val="tx1"/>
                  </w14:solidFill>
                </w14:textFill>
              </w:rPr>
              <w:t>.</w:t>
            </w:r>
            <w:r>
              <w:rPr>
                <w:rFonts w:hint="eastAsia" w:ascii="宋体" w:hAnsi="宋体" w:eastAsia="宋体" w:cs="宋体"/>
                <w:color w:val="000000" w:themeColor="text1"/>
                <w:sz w:val="18"/>
                <w:szCs w:val="18"/>
                <w:highlight w:val="none"/>
                <w14:textFill>
                  <w14:solidFill>
                    <w14:schemeClr w14:val="tx1"/>
                  </w14:solidFill>
                </w14:textFill>
              </w:rPr>
              <w:t>15</w:t>
            </w:r>
            <w:r>
              <w:rPr>
                <w:rFonts w:hint="eastAsia" w:ascii="宋体" w:hAnsi="宋体" w:eastAsia="宋体" w:cs="宋体"/>
                <w:color w:val="000000" w:themeColor="text1"/>
                <w:kern w:val="0"/>
                <w:sz w:val="18"/>
                <w:szCs w:val="18"/>
                <w:highlight w:val="none"/>
                <w14:textFill>
                  <w14:solidFill>
                    <w14:schemeClr w14:val="tx1"/>
                  </w14:solidFill>
                </w14:textFill>
              </w:rPr>
              <w:t>%。（具体公告详见公司于</w:t>
            </w:r>
            <w:r>
              <w:rPr>
                <w:rFonts w:hint="eastAsia" w:ascii="宋体" w:hAnsi="宋体" w:eastAsia="宋体" w:cs="宋体"/>
                <w:color w:val="000000" w:themeColor="text1"/>
                <w:sz w:val="18"/>
                <w:szCs w:val="18"/>
                <w:highlight w:val="none"/>
                <w14:textFill>
                  <w14:solidFill>
                    <w14:schemeClr w14:val="tx1"/>
                  </w14:solidFill>
                </w14:textFill>
              </w:rPr>
              <w:t>2021</w:t>
            </w:r>
            <w:r>
              <w:rPr>
                <w:rFonts w:hint="eastAsia" w:ascii="宋体" w:hAnsi="宋体" w:eastAsia="宋体" w:cs="宋体"/>
                <w:color w:val="000000" w:themeColor="text1"/>
                <w:kern w:val="0"/>
                <w:sz w:val="18"/>
                <w:szCs w:val="18"/>
                <w:highlight w:val="none"/>
                <w14:textFill>
                  <w14:solidFill>
                    <w14:schemeClr w14:val="tx1"/>
                  </w14:solidFill>
                </w14:textFill>
              </w:rPr>
              <w:t>年</w:t>
            </w:r>
            <w:r>
              <w:rPr>
                <w:rFonts w:hint="eastAsia" w:ascii="宋体" w:hAnsi="宋体" w:eastAsia="宋体" w:cs="宋体"/>
                <w:color w:val="000000" w:themeColor="text1"/>
                <w:sz w:val="18"/>
                <w:szCs w:val="18"/>
                <w:highlight w:val="none"/>
                <w14:textFill>
                  <w14:solidFill>
                    <w14:schemeClr w14:val="tx1"/>
                  </w14:solidFill>
                </w14:textFill>
              </w:rPr>
              <w:t>4</w:t>
            </w:r>
            <w:r>
              <w:rPr>
                <w:rFonts w:hint="eastAsia" w:ascii="宋体" w:hAnsi="宋体" w:eastAsia="宋体" w:cs="宋体"/>
                <w:color w:val="000000" w:themeColor="text1"/>
                <w:kern w:val="0"/>
                <w:sz w:val="18"/>
                <w:szCs w:val="18"/>
                <w:highlight w:val="none"/>
                <w14:textFill>
                  <w14:solidFill>
                    <w14:schemeClr w14:val="tx1"/>
                  </w14:solidFill>
                </w14:textFill>
              </w:rPr>
              <w:t>月</w:t>
            </w:r>
            <w:r>
              <w:rPr>
                <w:rFonts w:hint="eastAsia" w:ascii="宋体" w:hAnsi="宋体" w:eastAsia="宋体" w:cs="宋体"/>
                <w:color w:val="000000" w:themeColor="text1"/>
                <w:sz w:val="18"/>
                <w:szCs w:val="18"/>
                <w:highlight w:val="none"/>
                <w14:textFill>
                  <w14:solidFill>
                    <w14:schemeClr w14:val="tx1"/>
                  </w14:solidFill>
                </w14:textFill>
              </w:rPr>
              <w:t>28</w:t>
            </w:r>
            <w:r>
              <w:rPr>
                <w:rFonts w:hint="eastAsia" w:ascii="宋体" w:hAnsi="宋体" w:eastAsia="宋体" w:cs="宋体"/>
                <w:color w:val="000000" w:themeColor="text1"/>
                <w:kern w:val="0"/>
                <w:sz w:val="18"/>
                <w:szCs w:val="18"/>
                <w:highlight w:val="none"/>
                <w14:textFill>
                  <w14:solidFill>
                    <w14:schemeClr w14:val="tx1"/>
                  </w14:solidFill>
                </w14:textFill>
              </w:rPr>
              <w:t>日在《中国证券报》、《上海证券报》及上海证券交易所网站上披露的相关公告。）</w:t>
            </w:r>
          </w:p>
          <w:p>
            <w:pPr>
              <w:widowControl/>
              <w:ind w:firstLine="360" w:firstLineChars="200"/>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2021</w:t>
            </w:r>
            <w:r>
              <w:rPr>
                <w:rFonts w:hint="eastAsia" w:ascii="宋体" w:hAnsi="宋体" w:eastAsia="宋体" w:cs="宋体"/>
                <w:color w:val="000000" w:themeColor="text1"/>
                <w:kern w:val="0"/>
                <w:sz w:val="18"/>
                <w:szCs w:val="18"/>
                <w:highlight w:val="none"/>
                <w14:textFill>
                  <w14:solidFill>
                    <w14:schemeClr w14:val="tx1"/>
                  </w14:solidFill>
                </w14:textFill>
              </w:rPr>
              <w:t>年</w:t>
            </w:r>
            <w:r>
              <w:rPr>
                <w:rFonts w:hint="eastAsia" w:ascii="宋体" w:hAnsi="宋体" w:eastAsia="宋体" w:cs="宋体"/>
                <w:color w:val="000000" w:themeColor="text1"/>
                <w:sz w:val="18"/>
                <w:szCs w:val="18"/>
                <w:highlight w:val="none"/>
                <w14:textFill>
                  <w14:solidFill>
                    <w14:schemeClr w14:val="tx1"/>
                  </w14:solidFill>
                </w14:textFill>
              </w:rPr>
              <w:t>5</w:t>
            </w:r>
            <w:r>
              <w:rPr>
                <w:rFonts w:hint="eastAsia" w:ascii="宋体" w:hAnsi="宋体" w:eastAsia="宋体" w:cs="宋体"/>
                <w:color w:val="000000" w:themeColor="text1"/>
                <w:kern w:val="0"/>
                <w:sz w:val="18"/>
                <w:szCs w:val="18"/>
                <w:highlight w:val="none"/>
                <w14:textFill>
                  <w14:solidFill>
                    <w14:schemeClr w14:val="tx1"/>
                  </w14:solidFill>
                </w14:textFill>
              </w:rPr>
              <w:t>月</w:t>
            </w:r>
            <w:r>
              <w:rPr>
                <w:rFonts w:hint="eastAsia" w:ascii="宋体" w:hAnsi="宋体" w:eastAsia="宋体" w:cs="宋体"/>
                <w:color w:val="000000" w:themeColor="text1"/>
                <w:sz w:val="18"/>
                <w:szCs w:val="18"/>
                <w:highlight w:val="none"/>
                <w14:textFill>
                  <w14:solidFill>
                    <w14:schemeClr w14:val="tx1"/>
                  </w14:solidFill>
                </w14:textFill>
              </w:rPr>
              <w:t>24</w:t>
            </w:r>
            <w:r>
              <w:rPr>
                <w:rFonts w:hint="eastAsia" w:ascii="宋体" w:hAnsi="宋体" w:eastAsia="宋体" w:cs="宋体"/>
                <w:color w:val="000000" w:themeColor="text1"/>
                <w:kern w:val="0"/>
                <w:sz w:val="18"/>
                <w:szCs w:val="18"/>
                <w:highlight w:val="none"/>
                <w14:textFill>
                  <w14:solidFill>
                    <w14:schemeClr w14:val="tx1"/>
                  </w14:solidFill>
                </w14:textFill>
              </w:rPr>
              <w:t>日，公司从募集资金账户转入一般账户</w:t>
            </w:r>
            <w:r>
              <w:rPr>
                <w:rFonts w:hint="eastAsia" w:ascii="宋体" w:hAnsi="宋体" w:eastAsia="宋体" w:cs="宋体"/>
                <w:color w:val="000000" w:themeColor="text1"/>
                <w:sz w:val="18"/>
                <w:szCs w:val="18"/>
                <w:highlight w:val="none"/>
                <w14:textFill>
                  <w14:solidFill>
                    <w14:schemeClr w14:val="tx1"/>
                  </w14:solidFill>
                </w14:textFill>
              </w:rPr>
              <w:t>5</w:t>
            </w:r>
            <w:r>
              <w:rPr>
                <w:rFonts w:hint="eastAsia" w:ascii="宋体" w:hAnsi="宋体" w:eastAsia="宋体" w:cs="宋体"/>
                <w:color w:val="000000" w:themeColor="text1"/>
                <w:kern w:val="0"/>
                <w:sz w:val="18"/>
                <w:szCs w:val="18"/>
                <w:highlight w:val="none"/>
                <w14:textFill>
                  <w14:solidFill>
                    <w14:schemeClr w14:val="tx1"/>
                  </w14:solidFill>
                </w14:textFill>
              </w:rPr>
              <w:t>,</w:t>
            </w:r>
            <w:r>
              <w:rPr>
                <w:rFonts w:hint="eastAsia" w:ascii="宋体" w:hAnsi="宋体" w:eastAsia="宋体" w:cs="宋体"/>
                <w:color w:val="000000" w:themeColor="text1"/>
                <w:sz w:val="18"/>
                <w:szCs w:val="18"/>
                <w:highlight w:val="none"/>
                <w14:textFill>
                  <w14:solidFill>
                    <w14:schemeClr w14:val="tx1"/>
                  </w14:solidFill>
                </w14:textFill>
              </w:rPr>
              <w:t>602</w:t>
            </w:r>
            <w:r>
              <w:rPr>
                <w:rFonts w:hint="eastAsia" w:ascii="宋体" w:hAnsi="宋体" w:eastAsia="宋体" w:cs="宋体"/>
                <w:color w:val="000000" w:themeColor="text1"/>
                <w:kern w:val="0"/>
                <w:sz w:val="18"/>
                <w:szCs w:val="18"/>
                <w:highlight w:val="none"/>
                <w14:textFill>
                  <w14:solidFill>
                    <w14:schemeClr w14:val="tx1"/>
                  </w14:solidFill>
                </w14:textFill>
              </w:rPr>
              <w:t>.</w:t>
            </w:r>
            <w:r>
              <w:rPr>
                <w:rFonts w:hint="eastAsia" w:ascii="宋体" w:hAnsi="宋体" w:eastAsia="宋体" w:cs="宋体"/>
                <w:color w:val="000000" w:themeColor="text1"/>
                <w:sz w:val="18"/>
                <w:szCs w:val="18"/>
                <w:highlight w:val="none"/>
                <w14:textFill>
                  <w14:solidFill>
                    <w14:schemeClr w14:val="tx1"/>
                  </w14:solidFill>
                </w14:textFill>
              </w:rPr>
              <w:t>0</w:t>
            </w:r>
            <w:r>
              <w:rPr>
                <w:rFonts w:hint="eastAsia" w:ascii="宋体" w:hAnsi="宋体" w:eastAsia="宋体" w:cs="宋体"/>
                <w:color w:val="000000" w:themeColor="text1"/>
                <w:kern w:val="0"/>
                <w:sz w:val="18"/>
                <w:szCs w:val="18"/>
                <w:highlight w:val="none"/>
                <w14:textFill>
                  <w14:solidFill>
                    <w14:schemeClr w14:val="tx1"/>
                  </w14:solidFill>
                </w14:textFill>
              </w:rPr>
              <w:t xml:space="preserve">0万元，其中“西洛他唑等上市化学仿制药的一致性评价项目”中的西洛他唑片、利奈唑胺葡萄糖注射液、注射用艾司奥美拉唑钠 </w:t>
            </w:r>
            <w:r>
              <w:rPr>
                <w:rFonts w:hint="eastAsia" w:ascii="宋体" w:hAnsi="宋体" w:eastAsia="宋体" w:cs="宋体"/>
                <w:color w:val="000000" w:themeColor="text1"/>
                <w:sz w:val="18"/>
                <w:szCs w:val="18"/>
                <w:highlight w:val="none"/>
                <w14:textFill>
                  <w14:solidFill>
                    <w14:schemeClr w14:val="tx1"/>
                  </w14:solidFill>
                </w14:textFill>
              </w:rPr>
              <w:t>3</w:t>
            </w:r>
            <w:r>
              <w:rPr>
                <w:rFonts w:hint="eastAsia" w:ascii="宋体" w:hAnsi="宋体" w:eastAsia="宋体" w:cs="宋体"/>
                <w:color w:val="000000" w:themeColor="text1"/>
                <w:kern w:val="0"/>
                <w:sz w:val="18"/>
                <w:szCs w:val="18"/>
                <w:highlight w:val="none"/>
                <w14:textFill>
                  <w14:solidFill>
                    <w14:schemeClr w14:val="tx1"/>
                  </w14:solidFill>
                </w14:textFill>
              </w:rPr>
              <w:t xml:space="preserve"> 个子研发项目涉及金额为</w:t>
            </w:r>
            <w:r>
              <w:rPr>
                <w:rFonts w:hint="eastAsia" w:ascii="宋体" w:hAnsi="宋体" w:eastAsia="宋体" w:cs="宋体"/>
                <w:color w:val="000000" w:themeColor="text1"/>
                <w:sz w:val="18"/>
                <w:szCs w:val="18"/>
                <w:highlight w:val="none"/>
                <w14:textFill>
                  <w14:solidFill>
                    <w14:schemeClr w14:val="tx1"/>
                  </w14:solidFill>
                </w14:textFill>
              </w:rPr>
              <w:t>2</w:t>
            </w:r>
            <w:r>
              <w:rPr>
                <w:rFonts w:hint="eastAsia" w:ascii="宋体" w:hAnsi="宋体" w:eastAsia="宋体" w:cs="宋体"/>
                <w:color w:val="000000" w:themeColor="text1"/>
                <w:kern w:val="0"/>
                <w:sz w:val="18"/>
                <w:szCs w:val="18"/>
                <w:highlight w:val="none"/>
                <w14:textFill>
                  <w14:solidFill>
                    <w14:schemeClr w14:val="tx1"/>
                  </w14:solidFill>
                </w14:textFill>
              </w:rPr>
              <w:t>,</w:t>
            </w:r>
            <w:r>
              <w:rPr>
                <w:rFonts w:hint="eastAsia" w:ascii="宋体" w:hAnsi="宋体" w:eastAsia="宋体" w:cs="宋体"/>
                <w:color w:val="000000" w:themeColor="text1"/>
                <w:sz w:val="18"/>
                <w:szCs w:val="18"/>
                <w:highlight w:val="none"/>
                <w14:textFill>
                  <w14:solidFill>
                    <w14:schemeClr w14:val="tx1"/>
                  </w14:solidFill>
                </w14:textFill>
              </w:rPr>
              <w:t>771</w:t>
            </w:r>
            <w:r>
              <w:rPr>
                <w:rFonts w:hint="eastAsia" w:ascii="宋体" w:hAnsi="宋体" w:eastAsia="宋体" w:cs="宋体"/>
                <w:color w:val="000000" w:themeColor="text1"/>
                <w:kern w:val="0"/>
                <w:sz w:val="18"/>
                <w:szCs w:val="18"/>
                <w:highlight w:val="none"/>
                <w14:textFill>
                  <w14:solidFill>
                    <w14:schemeClr w14:val="tx1"/>
                  </w14:solidFill>
                </w14:textFill>
              </w:rPr>
              <w:t>.</w:t>
            </w:r>
            <w:r>
              <w:rPr>
                <w:rFonts w:hint="eastAsia" w:ascii="宋体" w:hAnsi="宋体" w:eastAsia="宋体" w:cs="宋体"/>
                <w:color w:val="000000" w:themeColor="text1"/>
                <w:sz w:val="18"/>
                <w:szCs w:val="18"/>
                <w:highlight w:val="none"/>
                <w14:textFill>
                  <w14:solidFill>
                    <w14:schemeClr w14:val="tx1"/>
                  </w14:solidFill>
                </w14:textFill>
              </w:rPr>
              <w:t>00</w:t>
            </w:r>
            <w:r>
              <w:rPr>
                <w:rFonts w:hint="eastAsia" w:ascii="宋体" w:hAnsi="宋体" w:eastAsia="宋体" w:cs="宋体"/>
                <w:color w:val="000000" w:themeColor="text1"/>
                <w:kern w:val="0"/>
                <w:sz w:val="18"/>
                <w:szCs w:val="18"/>
                <w:highlight w:val="none"/>
                <w14:textFill>
                  <w14:solidFill>
                    <w14:schemeClr w14:val="tx1"/>
                  </w14:solidFill>
                </w14:textFill>
              </w:rPr>
              <w:t>万元，“利奈唑胺与沃诺拉赞的仿制项目”中的利奈唑胺片剂的仿制、沃诺拉赞片剂的仿制</w:t>
            </w:r>
            <w:r>
              <w:rPr>
                <w:rFonts w:hint="eastAsia" w:ascii="宋体" w:hAnsi="宋体" w:eastAsia="宋体" w:cs="宋体"/>
                <w:color w:val="000000" w:themeColor="text1"/>
                <w:sz w:val="18"/>
                <w:szCs w:val="18"/>
                <w:highlight w:val="none"/>
                <w14:textFill>
                  <w14:solidFill>
                    <w14:schemeClr w14:val="tx1"/>
                  </w14:solidFill>
                </w14:textFill>
              </w:rPr>
              <w:t>2</w:t>
            </w:r>
            <w:r>
              <w:rPr>
                <w:rFonts w:hint="eastAsia" w:ascii="宋体" w:hAnsi="宋体" w:eastAsia="宋体" w:cs="宋体"/>
                <w:color w:val="000000" w:themeColor="text1"/>
                <w:kern w:val="0"/>
                <w:sz w:val="18"/>
                <w:szCs w:val="18"/>
                <w:highlight w:val="none"/>
                <w14:textFill>
                  <w14:solidFill>
                    <w14:schemeClr w14:val="tx1"/>
                  </w14:solidFill>
                </w14:textFill>
              </w:rPr>
              <w:t>个子研发项目涉及金额为</w:t>
            </w:r>
            <w:r>
              <w:rPr>
                <w:rFonts w:hint="eastAsia" w:ascii="宋体" w:hAnsi="宋体" w:eastAsia="宋体" w:cs="宋体"/>
                <w:color w:val="000000" w:themeColor="text1"/>
                <w:sz w:val="18"/>
                <w:szCs w:val="18"/>
                <w:highlight w:val="none"/>
                <w14:textFill>
                  <w14:solidFill>
                    <w14:schemeClr w14:val="tx1"/>
                  </w14:solidFill>
                </w14:textFill>
              </w:rPr>
              <w:t>2</w:t>
            </w:r>
            <w:r>
              <w:rPr>
                <w:rFonts w:hint="eastAsia" w:ascii="宋体" w:hAnsi="宋体" w:eastAsia="宋体" w:cs="宋体"/>
                <w:color w:val="000000" w:themeColor="text1"/>
                <w:kern w:val="0"/>
                <w:sz w:val="18"/>
                <w:szCs w:val="18"/>
                <w:highlight w:val="none"/>
                <w14:textFill>
                  <w14:solidFill>
                    <w14:schemeClr w14:val="tx1"/>
                  </w14:solidFill>
                </w14:textFill>
              </w:rPr>
              <w:t>,</w:t>
            </w:r>
            <w:r>
              <w:rPr>
                <w:rFonts w:hint="eastAsia" w:ascii="宋体" w:hAnsi="宋体" w:eastAsia="宋体" w:cs="宋体"/>
                <w:color w:val="000000" w:themeColor="text1"/>
                <w:sz w:val="18"/>
                <w:szCs w:val="18"/>
                <w:highlight w:val="none"/>
                <w14:textFill>
                  <w14:solidFill>
                    <w14:schemeClr w14:val="tx1"/>
                  </w14:solidFill>
                </w14:textFill>
              </w:rPr>
              <w:t>831</w:t>
            </w:r>
            <w:r>
              <w:rPr>
                <w:rFonts w:hint="eastAsia" w:ascii="宋体" w:hAnsi="宋体" w:eastAsia="宋体" w:cs="宋体"/>
                <w:color w:val="000000" w:themeColor="text1"/>
                <w:kern w:val="0"/>
                <w:sz w:val="18"/>
                <w:szCs w:val="18"/>
                <w:highlight w:val="none"/>
                <w14:textFill>
                  <w14:solidFill>
                    <w14:schemeClr w14:val="tx1"/>
                  </w14:solidFill>
                </w14:textFill>
              </w:rPr>
              <w:t>.</w:t>
            </w:r>
            <w:r>
              <w:rPr>
                <w:rFonts w:hint="eastAsia" w:ascii="宋体" w:hAnsi="宋体" w:eastAsia="宋体" w:cs="宋体"/>
                <w:color w:val="000000" w:themeColor="text1"/>
                <w:sz w:val="18"/>
                <w:szCs w:val="18"/>
                <w:highlight w:val="none"/>
                <w14:textFill>
                  <w14:solidFill>
                    <w14:schemeClr w14:val="tx1"/>
                  </w14:solidFill>
                </w14:textFill>
              </w:rPr>
              <w:t>00</w:t>
            </w:r>
            <w:r>
              <w:rPr>
                <w:rFonts w:hint="eastAsia" w:ascii="宋体" w:hAnsi="宋体" w:eastAsia="宋体" w:cs="宋体"/>
                <w:color w:val="000000" w:themeColor="text1"/>
                <w:kern w:val="0"/>
                <w:sz w:val="18"/>
                <w:szCs w:val="18"/>
                <w:highlight w:val="none"/>
                <w14:textFill>
                  <w14:solidFill>
                    <w14:schemeClr w14:val="tx1"/>
                  </w14:solidFill>
                </w14:textFill>
              </w:rPr>
              <w:t>万元。</w:t>
            </w:r>
          </w:p>
          <w:p>
            <w:pPr>
              <w:widowControl/>
              <w:ind w:firstLine="360" w:firstLineChars="200"/>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kern w:val="0"/>
                <w:sz w:val="18"/>
                <w:szCs w:val="18"/>
                <w:highlight w:val="none"/>
                <w14:textFill>
                  <w14:solidFill>
                    <w14:schemeClr w14:val="tx1"/>
                  </w14:solidFill>
                </w14:textFill>
              </w:rPr>
              <w:t>国家药品监督管理局于2023年10月17日发布了2023年第132号《关于加强药品上市许可持有人委托生产监督管理工作的公告》（以下简称“132号文”），对药品上市许可持有人委托生产药品的许可管理、质量管理和监督管理等做了进一步的要求，同时于10月24日发布《药品上市许可持有人委托生产现场检查指南》【药监综药管（2023）81号】，对公告内容进一步予以细化。按照文件要求，利奈唑胺与沃诺拉赞的仿制项目需要申请上市前GMP符合性检查。我公司于2023年12月接受了药品上市许可持有人GMP符合性检查，已完成整改，现处于待审核评定阶段，因此利奈唑胺与沃诺拉赞的仿制项目尚未达到预定可使用状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19" w:type="pct"/>
            <w:gridSpan w:val="3"/>
            <w:tcBorders>
              <w:top w:val="dashed" w:color="000000" w:sz="4" w:space="0"/>
              <w:left w:val="nil"/>
              <w:bottom w:val="dashed" w:color="000000" w:sz="4" w:space="0"/>
              <w:right w:val="dashed" w:color="auto" w:sz="4" w:space="0"/>
            </w:tcBorders>
            <w:vAlign w:val="center"/>
          </w:tcPr>
          <w:p>
            <w:pPr>
              <w:widowControl/>
              <w:jc w:val="center"/>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kern w:val="0"/>
                <w:sz w:val="18"/>
                <w:szCs w:val="18"/>
                <w:highlight w:val="none"/>
                <w14:textFill>
                  <w14:solidFill>
                    <w14:schemeClr w14:val="tx1"/>
                  </w14:solidFill>
                </w14:textFill>
              </w:rPr>
              <w:t>募集资金投资项目先期投入及置换情况</w:t>
            </w:r>
          </w:p>
        </w:tc>
        <w:tc>
          <w:tcPr>
            <w:tcW w:w="3480" w:type="pct"/>
            <w:gridSpan w:val="10"/>
            <w:tcBorders>
              <w:top w:val="dashed" w:color="000000" w:sz="4" w:space="0"/>
              <w:left w:val="dashed" w:color="auto" w:sz="4" w:space="0"/>
              <w:bottom w:val="dashed" w:color="000000" w:sz="4" w:space="0"/>
              <w:right w:val="nil"/>
            </w:tcBorders>
            <w:vAlign w:val="center"/>
          </w:tcPr>
          <w:p>
            <w:pPr>
              <w:widowControl/>
              <w:ind w:firstLine="360" w:firstLineChars="200"/>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kern w:val="0"/>
                <w:sz w:val="18"/>
                <w:szCs w:val="18"/>
                <w:highlight w:val="none"/>
                <w14:textFill>
                  <w14:solidFill>
                    <w14:schemeClr w14:val="tx1"/>
                  </w14:solidFill>
                </w14:textFill>
              </w:rPr>
              <w:t>截止</w:t>
            </w:r>
            <w:r>
              <w:rPr>
                <w:rFonts w:hint="eastAsia" w:ascii="宋体" w:hAnsi="宋体" w:eastAsia="宋体" w:cs="宋体"/>
                <w:color w:val="000000" w:themeColor="text1"/>
                <w:sz w:val="18"/>
                <w:szCs w:val="18"/>
                <w:highlight w:val="none"/>
                <w14:textFill>
                  <w14:solidFill>
                    <w14:schemeClr w14:val="tx1"/>
                  </w14:solidFill>
                </w14:textFill>
              </w:rPr>
              <w:t>2015</w:t>
            </w:r>
            <w:r>
              <w:rPr>
                <w:rFonts w:hint="eastAsia" w:ascii="宋体" w:hAnsi="宋体" w:eastAsia="宋体" w:cs="宋体"/>
                <w:color w:val="000000" w:themeColor="text1"/>
                <w:kern w:val="0"/>
                <w:sz w:val="18"/>
                <w:szCs w:val="18"/>
                <w:highlight w:val="none"/>
                <w14:textFill>
                  <w14:solidFill>
                    <w14:schemeClr w14:val="tx1"/>
                  </w14:solidFill>
                </w14:textFill>
              </w:rPr>
              <w:t>年</w:t>
            </w:r>
            <w:r>
              <w:rPr>
                <w:rFonts w:hint="eastAsia" w:ascii="宋体" w:hAnsi="宋体" w:eastAsia="宋体" w:cs="宋体"/>
                <w:color w:val="000000" w:themeColor="text1"/>
                <w:sz w:val="18"/>
                <w:szCs w:val="18"/>
                <w:highlight w:val="none"/>
                <w14:textFill>
                  <w14:solidFill>
                    <w14:schemeClr w14:val="tx1"/>
                  </w14:solidFill>
                </w14:textFill>
              </w:rPr>
              <w:t>9</w:t>
            </w:r>
            <w:r>
              <w:rPr>
                <w:rFonts w:hint="eastAsia" w:ascii="宋体" w:hAnsi="宋体" w:eastAsia="宋体" w:cs="宋体"/>
                <w:color w:val="000000" w:themeColor="text1"/>
                <w:kern w:val="0"/>
                <w:sz w:val="18"/>
                <w:szCs w:val="18"/>
                <w:highlight w:val="none"/>
                <w14:textFill>
                  <w14:solidFill>
                    <w14:schemeClr w14:val="tx1"/>
                  </w14:solidFill>
                </w14:textFill>
              </w:rPr>
              <w:t>月</w:t>
            </w:r>
            <w:r>
              <w:rPr>
                <w:rFonts w:hint="eastAsia" w:ascii="宋体" w:hAnsi="宋体" w:eastAsia="宋体" w:cs="宋体"/>
                <w:color w:val="000000" w:themeColor="text1"/>
                <w:sz w:val="18"/>
                <w:szCs w:val="18"/>
                <w:highlight w:val="none"/>
                <w14:textFill>
                  <w14:solidFill>
                    <w14:schemeClr w14:val="tx1"/>
                  </w14:solidFill>
                </w14:textFill>
              </w:rPr>
              <w:t>30</w:t>
            </w:r>
            <w:r>
              <w:rPr>
                <w:rFonts w:hint="eastAsia" w:ascii="宋体" w:hAnsi="宋体" w:eastAsia="宋体" w:cs="宋体"/>
                <w:color w:val="000000" w:themeColor="text1"/>
                <w:kern w:val="0"/>
                <w:sz w:val="18"/>
                <w:szCs w:val="18"/>
                <w:highlight w:val="none"/>
                <w14:textFill>
                  <w14:solidFill>
                    <w14:schemeClr w14:val="tx1"/>
                  </w14:solidFill>
                </w14:textFill>
              </w:rPr>
              <w:t>日，公司已利用自筹资金对募集资金项目累计投入</w:t>
            </w:r>
            <w:r>
              <w:rPr>
                <w:rFonts w:hint="eastAsia" w:ascii="宋体" w:hAnsi="宋体" w:eastAsia="宋体" w:cs="宋体"/>
                <w:color w:val="000000" w:themeColor="text1"/>
                <w:sz w:val="18"/>
                <w:szCs w:val="18"/>
                <w:highlight w:val="none"/>
                <w14:textFill>
                  <w14:solidFill>
                    <w14:schemeClr w14:val="tx1"/>
                  </w14:solidFill>
                </w14:textFill>
              </w:rPr>
              <w:t>47,964,197.53</w:t>
            </w:r>
            <w:r>
              <w:rPr>
                <w:rFonts w:hint="eastAsia" w:ascii="宋体" w:hAnsi="宋体" w:eastAsia="宋体" w:cs="宋体"/>
                <w:color w:val="000000" w:themeColor="text1"/>
                <w:kern w:val="0"/>
                <w:sz w:val="18"/>
                <w:szCs w:val="18"/>
                <w:highlight w:val="none"/>
                <w14:textFill>
                  <w14:solidFill>
                    <w14:schemeClr w14:val="tx1"/>
                  </w14:solidFill>
                </w14:textFill>
              </w:rPr>
              <w:t>元。募集资金到位后，公司于</w:t>
            </w:r>
            <w:r>
              <w:rPr>
                <w:rFonts w:hint="eastAsia" w:ascii="宋体" w:hAnsi="宋体" w:eastAsia="宋体" w:cs="宋体"/>
                <w:color w:val="000000" w:themeColor="text1"/>
                <w:sz w:val="18"/>
                <w:szCs w:val="18"/>
                <w:highlight w:val="none"/>
                <w14:textFill>
                  <w14:solidFill>
                    <w14:schemeClr w14:val="tx1"/>
                  </w14:solidFill>
                </w14:textFill>
              </w:rPr>
              <w:t>2015</w:t>
            </w:r>
            <w:r>
              <w:rPr>
                <w:rFonts w:hint="eastAsia" w:ascii="宋体" w:hAnsi="宋体" w:eastAsia="宋体" w:cs="宋体"/>
                <w:color w:val="000000" w:themeColor="text1"/>
                <w:kern w:val="0"/>
                <w:sz w:val="18"/>
                <w:szCs w:val="18"/>
                <w:highlight w:val="none"/>
                <w14:textFill>
                  <w14:solidFill>
                    <w14:schemeClr w14:val="tx1"/>
                  </w14:solidFill>
                </w14:textFill>
              </w:rPr>
              <w:t>年</w:t>
            </w:r>
            <w:r>
              <w:rPr>
                <w:rFonts w:hint="eastAsia" w:ascii="宋体" w:hAnsi="宋体" w:eastAsia="宋体" w:cs="宋体"/>
                <w:color w:val="000000" w:themeColor="text1"/>
                <w:sz w:val="18"/>
                <w:szCs w:val="18"/>
                <w:highlight w:val="none"/>
                <w14:textFill>
                  <w14:solidFill>
                    <w14:schemeClr w14:val="tx1"/>
                  </w14:solidFill>
                </w14:textFill>
              </w:rPr>
              <w:t>10</w:t>
            </w:r>
            <w:r>
              <w:rPr>
                <w:rFonts w:hint="eastAsia" w:ascii="宋体" w:hAnsi="宋体" w:eastAsia="宋体" w:cs="宋体"/>
                <w:color w:val="000000" w:themeColor="text1"/>
                <w:kern w:val="0"/>
                <w:sz w:val="18"/>
                <w:szCs w:val="18"/>
                <w:highlight w:val="none"/>
                <w14:textFill>
                  <w14:solidFill>
                    <w14:schemeClr w14:val="tx1"/>
                  </w14:solidFill>
                </w14:textFill>
              </w:rPr>
              <w:t>月置换出了先期垫付资金</w:t>
            </w:r>
            <w:r>
              <w:rPr>
                <w:rFonts w:hint="eastAsia" w:ascii="宋体" w:hAnsi="宋体" w:eastAsia="宋体" w:cs="宋体"/>
                <w:color w:val="000000" w:themeColor="text1"/>
                <w:sz w:val="18"/>
                <w:szCs w:val="18"/>
                <w:highlight w:val="none"/>
                <w14:textFill>
                  <w14:solidFill>
                    <w14:schemeClr w14:val="tx1"/>
                  </w14:solidFill>
                </w14:textFill>
              </w:rPr>
              <w:t>47,964,197.53</w:t>
            </w:r>
            <w:r>
              <w:rPr>
                <w:rFonts w:hint="eastAsia" w:ascii="宋体" w:hAnsi="宋体" w:eastAsia="宋体" w:cs="宋体"/>
                <w:color w:val="000000" w:themeColor="text1"/>
                <w:kern w:val="0"/>
                <w:sz w:val="18"/>
                <w:szCs w:val="18"/>
                <w:highlight w:val="none"/>
                <w14:textFill>
                  <w14:solidFill>
                    <w14:schemeClr w14:val="tx1"/>
                  </w14:solidFill>
                </w14:textFill>
              </w:rPr>
              <w:t>元。本次置换已经公司</w:t>
            </w:r>
            <w:r>
              <w:rPr>
                <w:rFonts w:hint="eastAsia" w:ascii="宋体" w:hAnsi="宋体" w:eastAsia="宋体" w:cs="宋体"/>
                <w:color w:val="000000" w:themeColor="text1"/>
                <w:sz w:val="18"/>
                <w:szCs w:val="18"/>
                <w:highlight w:val="none"/>
                <w14:textFill>
                  <w14:solidFill>
                    <w14:schemeClr w14:val="tx1"/>
                  </w14:solidFill>
                </w14:textFill>
              </w:rPr>
              <w:t>2015</w:t>
            </w:r>
            <w:r>
              <w:rPr>
                <w:rFonts w:hint="eastAsia" w:ascii="宋体" w:hAnsi="宋体" w:eastAsia="宋体" w:cs="宋体"/>
                <w:color w:val="000000" w:themeColor="text1"/>
                <w:kern w:val="0"/>
                <w:sz w:val="18"/>
                <w:szCs w:val="18"/>
                <w:highlight w:val="none"/>
                <w14:textFill>
                  <w14:solidFill>
                    <w14:schemeClr w14:val="tx1"/>
                  </w14:solidFill>
                </w14:textFill>
              </w:rPr>
              <w:t>年</w:t>
            </w:r>
            <w:r>
              <w:rPr>
                <w:rFonts w:hint="eastAsia" w:ascii="宋体" w:hAnsi="宋体" w:eastAsia="宋体" w:cs="宋体"/>
                <w:color w:val="000000" w:themeColor="text1"/>
                <w:sz w:val="18"/>
                <w:szCs w:val="18"/>
                <w:highlight w:val="none"/>
                <w14:textFill>
                  <w14:solidFill>
                    <w14:schemeClr w14:val="tx1"/>
                  </w14:solidFill>
                </w14:textFill>
              </w:rPr>
              <w:t>10</w:t>
            </w:r>
            <w:r>
              <w:rPr>
                <w:rFonts w:hint="eastAsia" w:ascii="宋体" w:hAnsi="宋体" w:eastAsia="宋体" w:cs="宋体"/>
                <w:color w:val="000000" w:themeColor="text1"/>
                <w:kern w:val="0"/>
                <w:sz w:val="18"/>
                <w:szCs w:val="18"/>
                <w:highlight w:val="none"/>
                <w14:textFill>
                  <w14:solidFill>
                    <w14:schemeClr w14:val="tx1"/>
                  </w14:solidFill>
                </w14:textFill>
              </w:rPr>
              <w:t>月</w:t>
            </w:r>
            <w:r>
              <w:rPr>
                <w:rFonts w:hint="eastAsia" w:ascii="宋体" w:hAnsi="宋体" w:eastAsia="宋体" w:cs="宋体"/>
                <w:color w:val="000000" w:themeColor="text1"/>
                <w:sz w:val="18"/>
                <w:szCs w:val="18"/>
                <w:highlight w:val="none"/>
                <w14:textFill>
                  <w14:solidFill>
                    <w14:schemeClr w14:val="tx1"/>
                  </w14:solidFill>
                </w14:textFill>
              </w:rPr>
              <w:t>29</w:t>
            </w:r>
            <w:r>
              <w:rPr>
                <w:rFonts w:hint="eastAsia" w:ascii="宋体" w:hAnsi="宋体" w:eastAsia="宋体" w:cs="宋体"/>
                <w:color w:val="000000" w:themeColor="text1"/>
                <w:kern w:val="0"/>
                <w:sz w:val="18"/>
                <w:szCs w:val="18"/>
                <w:highlight w:val="none"/>
                <w14:textFill>
                  <w14:solidFill>
                    <w14:schemeClr w14:val="tx1"/>
                  </w14:solidFill>
                </w14:textFill>
              </w:rPr>
              <w:t>日召开的第八届董事会第四次会议审议通过，经立信会计师事务所（特殊普通合伙）审验，并由其出具信会师报字[</w:t>
            </w:r>
            <w:r>
              <w:rPr>
                <w:rFonts w:hint="eastAsia" w:ascii="宋体" w:hAnsi="宋体" w:eastAsia="宋体" w:cs="宋体"/>
                <w:color w:val="000000" w:themeColor="text1"/>
                <w:sz w:val="18"/>
                <w:szCs w:val="18"/>
                <w:highlight w:val="none"/>
                <w14:textFill>
                  <w14:solidFill>
                    <w14:schemeClr w14:val="tx1"/>
                  </w14:solidFill>
                </w14:textFill>
              </w:rPr>
              <w:t>2015</w:t>
            </w:r>
            <w:r>
              <w:rPr>
                <w:rFonts w:hint="eastAsia" w:ascii="宋体" w:hAnsi="宋体" w:eastAsia="宋体" w:cs="宋体"/>
                <w:color w:val="000000" w:themeColor="text1"/>
                <w:kern w:val="0"/>
                <w:sz w:val="18"/>
                <w:szCs w:val="18"/>
                <w:highlight w:val="none"/>
                <w14:textFill>
                  <w14:solidFill>
                    <w14:schemeClr w14:val="tx1"/>
                  </w14:solidFill>
                </w14:textFill>
              </w:rPr>
              <w:t>]第</w:t>
            </w:r>
            <w:r>
              <w:rPr>
                <w:rFonts w:hint="eastAsia" w:ascii="宋体" w:hAnsi="宋体" w:eastAsia="宋体" w:cs="宋体"/>
                <w:color w:val="000000" w:themeColor="text1"/>
                <w:sz w:val="18"/>
                <w:szCs w:val="18"/>
                <w:highlight w:val="none"/>
                <w14:textFill>
                  <w14:solidFill>
                    <w14:schemeClr w14:val="tx1"/>
                  </w14:solidFill>
                </w14:textFill>
              </w:rPr>
              <w:t>115404</w:t>
            </w:r>
            <w:r>
              <w:rPr>
                <w:rFonts w:hint="eastAsia" w:ascii="宋体" w:hAnsi="宋体" w:eastAsia="宋体" w:cs="宋体"/>
                <w:color w:val="000000" w:themeColor="text1"/>
                <w:kern w:val="0"/>
                <w:sz w:val="18"/>
                <w:szCs w:val="18"/>
                <w:highlight w:val="none"/>
                <w14:textFill>
                  <w14:solidFill>
                    <w14:schemeClr w14:val="tx1"/>
                  </w14:solidFill>
                </w14:textFill>
              </w:rPr>
              <w:t>号《关于江苏吴中实业股份有限公司以自筹资金预先投入募集资金投资项目专项鉴证报告》。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19" w:type="pct"/>
            <w:gridSpan w:val="3"/>
            <w:tcBorders>
              <w:top w:val="dashed" w:color="000000" w:sz="4" w:space="0"/>
              <w:left w:val="nil"/>
              <w:bottom w:val="dashed" w:color="000000" w:sz="4" w:space="0"/>
              <w:right w:val="dashed" w:color="auto" w:sz="4" w:space="0"/>
            </w:tcBorders>
            <w:vAlign w:val="center"/>
          </w:tcPr>
          <w:p>
            <w:pPr>
              <w:widowControl/>
              <w:jc w:val="center"/>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kern w:val="0"/>
                <w:sz w:val="18"/>
                <w:szCs w:val="18"/>
                <w:highlight w:val="none"/>
                <w14:textFill>
                  <w14:solidFill>
                    <w14:schemeClr w14:val="tx1"/>
                  </w14:solidFill>
                </w14:textFill>
              </w:rPr>
              <w:t>用闲置募集资金暂时补充流动资金情况</w:t>
            </w:r>
          </w:p>
        </w:tc>
        <w:tc>
          <w:tcPr>
            <w:tcW w:w="3480" w:type="pct"/>
            <w:gridSpan w:val="10"/>
            <w:tcBorders>
              <w:top w:val="dashed" w:color="000000" w:sz="4" w:space="0"/>
              <w:left w:val="dashed" w:color="auto" w:sz="4" w:space="0"/>
              <w:bottom w:val="dashed" w:color="000000" w:sz="4" w:space="0"/>
              <w:right w:val="nil"/>
            </w:tcBorders>
            <w:vAlign w:val="center"/>
          </w:tcPr>
          <w:p>
            <w:pPr>
              <w:widowControl/>
              <w:jc w:val="center"/>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kern w:val="0"/>
                <w:sz w:val="18"/>
                <w:szCs w:val="18"/>
                <w:highlight w:val="none"/>
                <w14:textFill>
                  <w14:solidFill>
                    <w14:schemeClr w14:val="tx1"/>
                  </w14:solidFill>
                </w14:textFill>
              </w:rPr>
              <w:t>不适用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19" w:type="pct"/>
            <w:gridSpan w:val="3"/>
            <w:tcBorders>
              <w:top w:val="dashed" w:color="000000" w:sz="4" w:space="0"/>
              <w:left w:val="nil"/>
              <w:bottom w:val="dashed" w:color="000000" w:sz="4" w:space="0"/>
              <w:right w:val="dashed" w:color="auto" w:sz="4" w:space="0"/>
            </w:tcBorders>
            <w:vAlign w:val="center"/>
          </w:tcPr>
          <w:p>
            <w:pPr>
              <w:widowControl/>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对闲置募集资金进行现金管理，投资相关产品情况</w:t>
            </w:r>
          </w:p>
        </w:tc>
        <w:tc>
          <w:tcPr>
            <w:tcW w:w="3480" w:type="pct"/>
            <w:gridSpan w:val="10"/>
            <w:tcBorders>
              <w:top w:val="dashed" w:color="000000" w:sz="4" w:space="0"/>
              <w:left w:val="dashed" w:color="auto" w:sz="4" w:space="0"/>
              <w:bottom w:val="dashed" w:color="000000" w:sz="4" w:space="0"/>
              <w:right w:val="nil"/>
            </w:tcBorders>
            <w:vAlign w:val="center"/>
          </w:tcPr>
          <w:p>
            <w:pPr>
              <w:widowControl/>
              <w:ind w:firstLine="360" w:firstLineChars="200"/>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2016</w:t>
            </w:r>
            <w:r>
              <w:rPr>
                <w:rFonts w:hint="eastAsia" w:ascii="宋体" w:hAnsi="宋体" w:eastAsia="宋体" w:cs="宋体"/>
                <w:color w:val="000000" w:themeColor="text1"/>
                <w:kern w:val="0"/>
                <w:sz w:val="18"/>
                <w:szCs w:val="18"/>
                <w:highlight w:val="none"/>
                <w14:textFill>
                  <w14:solidFill>
                    <w14:schemeClr w14:val="tx1"/>
                  </w14:solidFill>
                </w14:textFill>
              </w:rPr>
              <w:t>年</w:t>
            </w:r>
            <w:r>
              <w:rPr>
                <w:rFonts w:hint="eastAsia" w:ascii="宋体" w:hAnsi="宋体" w:eastAsia="宋体" w:cs="宋体"/>
                <w:color w:val="000000" w:themeColor="text1"/>
                <w:sz w:val="18"/>
                <w:szCs w:val="18"/>
                <w:highlight w:val="none"/>
                <w14:textFill>
                  <w14:solidFill>
                    <w14:schemeClr w14:val="tx1"/>
                  </w14:solidFill>
                </w14:textFill>
              </w:rPr>
              <w:t>8</w:t>
            </w:r>
            <w:r>
              <w:rPr>
                <w:rFonts w:hint="eastAsia" w:ascii="宋体" w:hAnsi="宋体" w:eastAsia="宋体" w:cs="宋体"/>
                <w:color w:val="000000" w:themeColor="text1"/>
                <w:kern w:val="0"/>
                <w:sz w:val="18"/>
                <w:szCs w:val="18"/>
                <w:highlight w:val="none"/>
                <w14:textFill>
                  <w14:solidFill>
                    <w14:schemeClr w14:val="tx1"/>
                  </w14:solidFill>
                </w14:textFill>
              </w:rPr>
              <w:t>月</w:t>
            </w:r>
            <w:r>
              <w:rPr>
                <w:rFonts w:hint="eastAsia" w:ascii="宋体" w:hAnsi="宋体" w:eastAsia="宋体" w:cs="宋体"/>
                <w:color w:val="000000" w:themeColor="text1"/>
                <w:sz w:val="18"/>
                <w:szCs w:val="18"/>
                <w:highlight w:val="none"/>
                <w14:textFill>
                  <w14:solidFill>
                    <w14:schemeClr w14:val="tx1"/>
                  </w14:solidFill>
                </w14:textFill>
              </w:rPr>
              <w:t>25</w:t>
            </w:r>
            <w:r>
              <w:rPr>
                <w:rFonts w:hint="eastAsia" w:ascii="宋体" w:hAnsi="宋体" w:eastAsia="宋体" w:cs="宋体"/>
                <w:color w:val="000000" w:themeColor="text1"/>
                <w:kern w:val="0"/>
                <w:sz w:val="18"/>
                <w:szCs w:val="18"/>
                <w:highlight w:val="none"/>
                <w14:textFill>
                  <w14:solidFill>
                    <w14:schemeClr w14:val="tx1"/>
                  </w14:solidFill>
                </w14:textFill>
              </w:rPr>
              <w:t>日，公司召开的第八届董事会第九次会议及第八届监事会第九次会议，审议通过了《江苏吴中实业股份有限公司关于使用闲置募集资金进行现金管理的议案》，同意公司使用不超过人民币</w:t>
            </w:r>
            <w:r>
              <w:rPr>
                <w:rFonts w:hint="eastAsia" w:ascii="宋体" w:hAnsi="宋体" w:eastAsia="宋体" w:cs="宋体"/>
                <w:color w:val="000000" w:themeColor="text1"/>
                <w:sz w:val="18"/>
                <w:szCs w:val="18"/>
                <w:highlight w:val="none"/>
                <w14:textFill>
                  <w14:solidFill>
                    <w14:schemeClr w14:val="tx1"/>
                  </w14:solidFill>
                </w14:textFill>
              </w:rPr>
              <w:t>16,000</w:t>
            </w:r>
            <w:r>
              <w:rPr>
                <w:rFonts w:hint="eastAsia" w:ascii="宋体" w:hAnsi="宋体" w:eastAsia="宋体" w:cs="宋体"/>
                <w:color w:val="000000" w:themeColor="text1"/>
                <w:kern w:val="0"/>
                <w:sz w:val="18"/>
                <w:szCs w:val="18"/>
                <w:highlight w:val="none"/>
                <w14:textFill>
                  <w14:solidFill>
                    <w14:schemeClr w14:val="tx1"/>
                  </w14:solidFill>
                </w14:textFill>
              </w:rPr>
              <w:t>万元的闲置募集资金进行现金管理。</w:t>
            </w:r>
          </w:p>
          <w:p>
            <w:pPr>
              <w:widowControl/>
              <w:ind w:firstLine="360" w:firstLineChars="200"/>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2017</w:t>
            </w:r>
            <w:r>
              <w:rPr>
                <w:rFonts w:hint="eastAsia" w:ascii="宋体" w:hAnsi="宋体" w:eastAsia="宋体" w:cs="宋体"/>
                <w:color w:val="000000" w:themeColor="text1"/>
                <w:kern w:val="0"/>
                <w:sz w:val="18"/>
                <w:szCs w:val="18"/>
                <w:highlight w:val="none"/>
                <w14:textFill>
                  <w14:solidFill>
                    <w14:schemeClr w14:val="tx1"/>
                  </w14:solidFill>
                </w14:textFill>
              </w:rPr>
              <w:t>年</w:t>
            </w:r>
            <w:r>
              <w:rPr>
                <w:rFonts w:hint="eastAsia" w:ascii="宋体" w:hAnsi="宋体" w:eastAsia="宋体" w:cs="宋体"/>
                <w:color w:val="000000" w:themeColor="text1"/>
                <w:sz w:val="18"/>
                <w:szCs w:val="18"/>
                <w:highlight w:val="none"/>
                <w14:textFill>
                  <w14:solidFill>
                    <w14:schemeClr w14:val="tx1"/>
                  </w14:solidFill>
                </w14:textFill>
              </w:rPr>
              <w:t>8</w:t>
            </w:r>
            <w:r>
              <w:rPr>
                <w:rFonts w:hint="eastAsia" w:ascii="宋体" w:hAnsi="宋体" w:eastAsia="宋体" w:cs="宋体"/>
                <w:color w:val="000000" w:themeColor="text1"/>
                <w:kern w:val="0"/>
                <w:sz w:val="18"/>
                <w:szCs w:val="18"/>
                <w:highlight w:val="none"/>
                <w14:textFill>
                  <w14:solidFill>
                    <w14:schemeClr w14:val="tx1"/>
                  </w14:solidFill>
                </w14:textFill>
              </w:rPr>
              <w:t>月</w:t>
            </w:r>
            <w:r>
              <w:rPr>
                <w:rFonts w:hint="eastAsia" w:ascii="宋体" w:hAnsi="宋体" w:eastAsia="宋体" w:cs="宋体"/>
                <w:color w:val="000000" w:themeColor="text1"/>
                <w:sz w:val="18"/>
                <w:szCs w:val="18"/>
                <w:highlight w:val="none"/>
                <w14:textFill>
                  <w14:solidFill>
                    <w14:schemeClr w14:val="tx1"/>
                  </w14:solidFill>
                </w14:textFill>
              </w:rPr>
              <w:t>21</w:t>
            </w:r>
            <w:r>
              <w:rPr>
                <w:rFonts w:hint="eastAsia" w:ascii="宋体" w:hAnsi="宋体" w:eastAsia="宋体" w:cs="宋体"/>
                <w:color w:val="000000" w:themeColor="text1"/>
                <w:kern w:val="0"/>
                <w:sz w:val="18"/>
                <w:szCs w:val="18"/>
                <w:highlight w:val="none"/>
                <w14:textFill>
                  <w14:solidFill>
                    <w14:schemeClr w14:val="tx1"/>
                  </w14:solidFill>
                </w14:textFill>
              </w:rPr>
              <w:t>日，公司召开的第八届董事会第十二次会议及第八届监事会第十二次会议，审议通过了《江苏吴中实业股份有限公司关于使用部分闲置非公开发行募集资金进行现金管理的议案》，同意公司使用不超过人民币</w:t>
            </w:r>
            <w:r>
              <w:rPr>
                <w:rFonts w:hint="eastAsia" w:ascii="宋体" w:hAnsi="宋体" w:eastAsia="宋体" w:cs="宋体"/>
                <w:color w:val="000000" w:themeColor="text1"/>
                <w:sz w:val="18"/>
                <w:szCs w:val="18"/>
                <w:highlight w:val="none"/>
                <w14:textFill>
                  <w14:solidFill>
                    <w14:schemeClr w14:val="tx1"/>
                  </w14:solidFill>
                </w14:textFill>
              </w:rPr>
              <w:t>10,000</w:t>
            </w:r>
            <w:r>
              <w:rPr>
                <w:rFonts w:hint="eastAsia" w:ascii="宋体" w:hAnsi="宋体" w:eastAsia="宋体" w:cs="宋体"/>
                <w:color w:val="000000" w:themeColor="text1"/>
                <w:kern w:val="0"/>
                <w:sz w:val="18"/>
                <w:szCs w:val="18"/>
                <w:highlight w:val="none"/>
                <w14:textFill>
                  <w14:solidFill>
                    <w14:schemeClr w14:val="tx1"/>
                  </w14:solidFill>
                </w14:textFill>
              </w:rPr>
              <w:t>万元的闲置募集资金进行现金管理。</w:t>
            </w:r>
          </w:p>
          <w:p>
            <w:pPr>
              <w:widowControl/>
              <w:ind w:firstLine="360" w:firstLineChars="200"/>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2018</w:t>
            </w:r>
            <w:r>
              <w:rPr>
                <w:rFonts w:hint="eastAsia" w:ascii="宋体" w:hAnsi="宋体" w:eastAsia="宋体" w:cs="宋体"/>
                <w:color w:val="000000" w:themeColor="text1"/>
                <w:kern w:val="0"/>
                <w:sz w:val="18"/>
                <w:szCs w:val="18"/>
                <w:highlight w:val="none"/>
                <w14:textFill>
                  <w14:solidFill>
                    <w14:schemeClr w14:val="tx1"/>
                  </w14:solidFill>
                </w14:textFill>
              </w:rPr>
              <w:t>年</w:t>
            </w:r>
            <w:r>
              <w:rPr>
                <w:rFonts w:hint="eastAsia" w:ascii="宋体" w:hAnsi="宋体" w:eastAsia="宋体" w:cs="宋体"/>
                <w:color w:val="000000" w:themeColor="text1"/>
                <w:sz w:val="18"/>
                <w:szCs w:val="18"/>
                <w:highlight w:val="none"/>
                <w14:textFill>
                  <w14:solidFill>
                    <w14:schemeClr w14:val="tx1"/>
                  </w14:solidFill>
                </w14:textFill>
              </w:rPr>
              <w:t>8</w:t>
            </w:r>
            <w:r>
              <w:rPr>
                <w:rFonts w:hint="eastAsia" w:ascii="宋体" w:hAnsi="宋体" w:eastAsia="宋体" w:cs="宋体"/>
                <w:color w:val="000000" w:themeColor="text1"/>
                <w:kern w:val="0"/>
                <w:sz w:val="18"/>
                <w:szCs w:val="18"/>
                <w:highlight w:val="none"/>
                <w14:textFill>
                  <w14:solidFill>
                    <w14:schemeClr w14:val="tx1"/>
                  </w14:solidFill>
                </w14:textFill>
              </w:rPr>
              <w:t>月</w:t>
            </w:r>
            <w:r>
              <w:rPr>
                <w:rFonts w:hint="eastAsia" w:ascii="宋体" w:hAnsi="宋体" w:eastAsia="宋体" w:cs="宋体"/>
                <w:color w:val="000000" w:themeColor="text1"/>
                <w:sz w:val="18"/>
                <w:szCs w:val="18"/>
                <w:highlight w:val="none"/>
                <w14:textFill>
                  <w14:solidFill>
                    <w14:schemeClr w14:val="tx1"/>
                  </w14:solidFill>
                </w14:textFill>
              </w:rPr>
              <w:t>20</w:t>
            </w:r>
            <w:r>
              <w:rPr>
                <w:rFonts w:hint="eastAsia" w:ascii="宋体" w:hAnsi="宋体" w:eastAsia="宋体" w:cs="宋体"/>
                <w:color w:val="000000" w:themeColor="text1"/>
                <w:kern w:val="0"/>
                <w:sz w:val="18"/>
                <w:szCs w:val="18"/>
                <w:highlight w:val="none"/>
                <w14:textFill>
                  <w14:solidFill>
                    <w14:schemeClr w14:val="tx1"/>
                  </w14:solidFill>
                </w14:textFill>
              </w:rPr>
              <w:t>日召开的第九届董事会第二次会议和第九届监事会第二次会议，审议通过了《江苏吴中实业股份有限公司关于使用部分闲置非公开发行募集资金进行现金管理的议案》，同意公司使用不超过人民币</w:t>
            </w:r>
            <w:r>
              <w:rPr>
                <w:rFonts w:hint="eastAsia" w:ascii="宋体" w:hAnsi="宋体" w:eastAsia="宋体" w:cs="宋体"/>
                <w:color w:val="000000" w:themeColor="text1"/>
                <w:sz w:val="18"/>
                <w:szCs w:val="18"/>
                <w:highlight w:val="none"/>
                <w14:textFill>
                  <w14:solidFill>
                    <w14:schemeClr w14:val="tx1"/>
                  </w14:solidFill>
                </w14:textFill>
              </w:rPr>
              <w:t>8,000</w:t>
            </w:r>
            <w:r>
              <w:rPr>
                <w:rFonts w:hint="eastAsia" w:ascii="宋体" w:hAnsi="宋体" w:eastAsia="宋体" w:cs="宋体"/>
                <w:color w:val="000000" w:themeColor="text1"/>
                <w:kern w:val="0"/>
                <w:sz w:val="18"/>
                <w:szCs w:val="18"/>
                <w:highlight w:val="none"/>
                <w14:textFill>
                  <w14:solidFill>
                    <w14:schemeClr w14:val="tx1"/>
                  </w14:solidFill>
                </w14:textFill>
              </w:rPr>
              <w:t>万元的闲置非公开募集资金进行现金管理。</w:t>
            </w:r>
          </w:p>
          <w:p>
            <w:pPr>
              <w:widowControl/>
              <w:ind w:firstLine="360" w:firstLineChars="200"/>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2019</w:t>
            </w:r>
            <w:r>
              <w:rPr>
                <w:rFonts w:hint="eastAsia" w:ascii="宋体" w:hAnsi="宋体" w:eastAsia="宋体" w:cs="宋体"/>
                <w:color w:val="000000" w:themeColor="text1"/>
                <w:kern w:val="0"/>
                <w:sz w:val="18"/>
                <w:szCs w:val="18"/>
                <w:highlight w:val="none"/>
                <w14:textFill>
                  <w14:solidFill>
                    <w14:schemeClr w14:val="tx1"/>
                  </w14:solidFill>
                </w14:textFill>
              </w:rPr>
              <w:t>年</w:t>
            </w:r>
            <w:r>
              <w:rPr>
                <w:rFonts w:hint="eastAsia" w:ascii="宋体" w:hAnsi="宋体" w:eastAsia="宋体" w:cs="宋体"/>
                <w:color w:val="000000" w:themeColor="text1"/>
                <w:sz w:val="18"/>
                <w:szCs w:val="18"/>
                <w:highlight w:val="none"/>
                <w14:textFill>
                  <w14:solidFill>
                    <w14:schemeClr w14:val="tx1"/>
                  </w14:solidFill>
                </w14:textFill>
              </w:rPr>
              <w:t>6</w:t>
            </w:r>
            <w:r>
              <w:rPr>
                <w:rFonts w:hint="eastAsia" w:ascii="宋体" w:hAnsi="宋体" w:eastAsia="宋体" w:cs="宋体"/>
                <w:color w:val="000000" w:themeColor="text1"/>
                <w:kern w:val="0"/>
                <w:sz w:val="18"/>
                <w:szCs w:val="18"/>
                <w:highlight w:val="none"/>
                <w14:textFill>
                  <w14:solidFill>
                    <w14:schemeClr w14:val="tx1"/>
                  </w14:solidFill>
                </w14:textFill>
              </w:rPr>
              <w:t>月</w:t>
            </w:r>
            <w:r>
              <w:rPr>
                <w:rFonts w:hint="eastAsia" w:ascii="宋体" w:hAnsi="宋体" w:eastAsia="宋体" w:cs="宋体"/>
                <w:color w:val="000000" w:themeColor="text1"/>
                <w:sz w:val="18"/>
                <w:szCs w:val="18"/>
                <w:highlight w:val="none"/>
                <w14:textFill>
                  <w14:solidFill>
                    <w14:schemeClr w14:val="tx1"/>
                  </w14:solidFill>
                </w14:textFill>
              </w:rPr>
              <w:t>28</w:t>
            </w:r>
            <w:r>
              <w:rPr>
                <w:rFonts w:hint="eastAsia" w:ascii="宋体" w:hAnsi="宋体" w:eastAsia="宋体" w:cs="宋体"/>
                <w:color w:val="000000" w:themeColor="text1"/>
                <w:kern w:val="0"/>
                <w:sz w:val="18"/>
                <w:szCs w:val="18"/>
                <w:highlight w:val="none"/>
                <w14:textFill>
                  <w14:solidFill>
                    <w14:schemeClr w14:val="tx1"/>
                  </w14:solidFill>
                </w14:textFill>
              </w:rPr>
              <w:t>日召开的第九届董事会</w:t>
            </w:r>
            <w:r>
              <w:rPr>
                <w:rFonts w:hint="eastAsia" w:ascii="宋体" w:hAnsi="宋体" w:eastAsia="宋体" w:cs="宋体"/>
                <w:color w:val="000000" w:themeColor="text1"/>
                <w:sz w:val="18"/>
                <w:szCs w:val="18"/>
                <w:highlight w:val="none"/>
                <w14:textFill>
                  <w14:solidFill>
                    <w14:schemeClr w14:val="tx1"/>
                  </w14:solidFill>
                </w14:textFill>
              </w:rPr>
              <w:t>2019</w:t>
            </w:r>
            <w:r>
              <w:rPr>
                <w:rFonts w:hint="eastAsia" w:ascii="宋体" w:hAnsi="宋体" w:eastAsia="宋体" w:cs="宋体"/>
                <w:color w:val="000000" w:themeColor="text1"/>
                <w:kern w:val="0"/>
                <w:sz w:val="18"/>
                <w:szCs w:val="18"/>
                <w:highlight w:val="none"/>
                <w14:textFill>
                  <w14:solidFill>
                    <w14:schemeClr w14:val="tx1"/>
                  </w14:solidFill>
                </w14:textFill>
              </w:rPr>
              <w:t>年第四次临时会议（通讯表决）和第九届监事会</w:t>
            </w:r>
            <w:r>
              <w:rPr>
                <w:rFonts w:hint="eastAsia" w:ascii="宋体" w:hAnsi="宋体" w:eastAsia="宋体" w:cs="宋体"/>
                <w:color w:val="000000" w:themeColor="text1"/>
                <w:sz w:val="18"/>
                <w:szCs w:val="18"/>
                <w:highlight w:val="none"/>
                <w14:textFill>
                  <w14:solidFill>
                    <w14:schemeClr w14:val="tx1"/>
                  </w14:solidFill>
                </w14:textFill>
              </w:rPr>
              <w:t>2019</w:t>
            </w:r>
            <w:r>
              <w:rPr>
                <w:rFonts w:hint="eastAsia" w:ascii="宋体" w:hAnsi="宋体" w:eastAsia="宋体" w:cs="宋体"/>
                <w:color w:val="000000" w:themeColor="text1"/>
                <w:kern w:val="0"/>
                <w:sz w:val="18"/>
                <w:szCs w:val="18"/>
                <w:highlight w:val="none"/>
                <w14:textFill>
                  <w14:solidFill>
                    <w14:schemeClr w14:val="tx1"/>
                  </w14:solidFill>
                </w14:textFill>
              </w:rPr>
              <w:t>年第三次临时会议（通讯表决），审议通过了《江苏吴中实业股份有限公司关于使用部分闲置非公开发行募集资金进行现金管理的议案》。同意公司使用总额不超过人民币</w:t>
            </w:r>
            <w:r>
              <w:rPr>
                <w:rFonts w:hint="eastAsia" w:ascii="宋体" w:hAnsi="宋体" w:eastAsia="宋体" w:cs="宋体"/>
                <w:color w:val="000000" w:themeColor="text1"/>
                <w:sz w:val="18"/>
                <w:szCs w:val="18"/>
                <w:highlight w:val="none"/>
                <w14:textFill>
                  <w14:solidFill>
                    <w14:schemeClr w14:val="tx1"/>
                  </w14:solidFill>
                </w14:textFill>
              </w:rPr>
              <w:t>4,000</w:t>
            </w:r>
            <w:r>
              <w:rPr>
                <w:rFonts w:hint="eastAsia" w:ascii="宋体" w:hAnsi="宋体" w:eastAsia="宋体" w:cs="宋体"/>
                <w:color w:val="000000" w:themeColor="text1"/>
                <w:kern w:val="0"/>
                <w:sz w:val="18"/>
                <w:szCs w:val="18"/>
                <w:highlight w:val="none"/>
                <w14:textFill>
                  <w14:solidFill>
                    <w14:schemeClr w14:val="tx1"/>
                  </w14:solidFill>
                </w14:textFill>
              </w:rPr>
              <w:t>万元的闲置非公开募集资金进行现金管理。</w:t>
            </w:r>
          </w:p>
          <w:p>
            <w:pPr>
              <w:widowControl/>
              <w:ind w:firstLine="360" w:firstLineChars="200"/>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2020</w:t>
            </w:r>
            <w:r>
              <w:rPr>
                <w:rFonts w:hint="eastAsia" w:ascii="宋体" w:hAnsi="宋体" w:eastAsia="宋体" w:cs="宋体"/>
                <w:color w:val="000000" w:themeColor="text1"/>
                <w:kern w:val="0"/>
                <w:sz w:val="18"/>
                <w:szCs w:val="18"/>
                <w:highlight w:val="none"/>
                <w14:textFill>
                  <w14:solidFill>
                    <w14:schemeClr w14:val="tx1"/>
                  </w14:solidFill>
                </w14:textFill>
              </w:rPr>
              <w:t>年</w:t>
            </w:r>
            <w:r>
              <w:rPr>
                <w:rFonts w:hint="eastAsia" w:ascii="宋体" w:hAnsi="宋体" w:eastAsia="宋体" w:cs="宋体"/>
                <w:color w:val="000000" w:themeColor="text1"/>
                <w:sz w:val="18"/>
                <w:szCs w:val="18"/>
                <w:highlight w:val="none"/>
                <w14:textFill>
                  <w14:solidFill>
                    <w14:schemeClr w14:val="tx1"/>
                  </w14:solidFill>
                </w14:textFill>
              </w:rPr>
              <w:t>4</w:t>
            </w:r>
            <w:r>
              <w:rPr>
                <w:rFonts w:hint="eastAsia" w:ascii="宋体" w:hAnsi="宋体" w:eastAsia="宋体" w:cs="宋体"/>
                <w:color w:val="000000" w:themeColor="text1"/>
                <w:kern w:val="0"/>
                <w:sz w:val="18"/>
                <w:szCs w:val="18"/>
                <w:highlight w:val="none"/>
                <w14:textFill>
                  <w14:solidFill>
                    <w14:schemeClr w14:val="tx1"/>
                  </w14:solidFill>
                </w14:textFill>
              </w:rPr>
              <w:t>月</w:t>
            </w:r>
            <w:r>
              <w:rPr>
                <w:rFonts w:hint="eastAsia" w:ascii="宋体" w:hAnsi="宋体" w:eastAsia="宋体" w:cs="宋体"/>
                <w:color w:val="000000" w:themeColor="text1"/>
                <w:sz w:val="18"/>
                <w:szCs w:val="18"/>
                <w:highlight w:val="none"/>
                <w14:textFill>
                  <w14:solidFill>
                    <w14:schemeClr w14:val="tx1"/>
                  </w14:solidFill>
                </w14:textFill>
              </w:rPr>
              <w:t>28</w:t>
            </w:r>
            <w:r>
              <w:rPr>
                <w:rFonts w:hint="eastAsia" w:ascii="宋体" w:hAnsi="宋体" w:eastAsia="宋体" w:cs="宋体"/>
                <w:color w:val="000000" w:themeColor="text1"/>
                <w:kern w:val="0"/>
                <w:sz w:val="18"/>
                <w:szCs w:val="18"/>
                <w:highlight w:val="none"/>
                <w14:textFill>
                  <w14:solidFill>
                    <w14:schemeClr w14:val="tx1"/>
                  </w14:solidFill>
                </w14:textFill>
              </w:rPr>
              <w:t>日，公司召开第九届董事会第九次会议（通讯表决）和第九届监事会第九次会议（通讯表决），审议通过了《江苏吴中实业股份有限公司关于使用部分闲置非公开发行募集资金进行现金管理的议案》，同意公司使用总额不超过人民币</w:t>
            </w:r>
            <w:r>
              <w:rPr>
                <w:rFonts w:hint="eastAsia" w:ascii="宋体" w:hAnsi="宋体" w:eastAsia="宋体" w:cs="宋体"/>
                <w:color w:val="000000" w:themeColor="text1"/>
                <w:sz w:val="18"/>
                <w:szCs w:val="18"/>
                <w:highlight w:val="none"/>
                <w14:textFill>
                  <w14:solidFill>
                    <w14:schemeClr w14:val="tx1"/>
                  </w14:solidFill>
                </w14:textFill>
              </w:rPr>
              <w:t>4,000</w:t>
            </w:r>
            <w:r>
              <w:rPr>
                <w:rFonts w:hint="eastAsia" w:ascii="宋体" w:hAnsi="宋体" w:eastAsia="宋体" w:cs="宋体"/>
                <w:color w:val="000000" w:themeColor="text1"/>
                <w:kern w:val="0"/>
                <w:sz w:val="18"/>
                <w:szCs w:val="18"/>
                <w:highlight w:val="none"/>
                <w14:textFill>
                  <w14:solidFill>
                    <w14:schemeClr w14:val="tx1"/>
                  </w14:solidFill>
                </w14:textFill>
              </w:rPr>
              <w:t>万元的闲置非公开募集资金进行现金管理，在上述额度及决议有效期内，资金可以循环滚动使用。</w:t>
            </w:r>
          </w:p>
          <w:p>
            <w:pPr>
              <w:widowControl/>
              <w:ind w:firstLine="360" w:firstLineChars="200"/>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2021</w:t>
            </w:r>
            <w:r>
              <w:rPr>
                <w:rFonts w:hint="eastAsia" w:ascii="宋体" w:hAnsi="宋体" w:eastAsia="宋体" w:cs="宋体"/>
                <w:color w:val="000000" w:themeColor="text1"/>
                <w:kern w:val="0"/>
                <w:sz w:val="18"/>
                <w:szCs w:val="18"/>
                <w:highlight w:val="none"/>
                <w14:textFill>
                  <w14:solidFill>
                    <w14:schemeClr w14:val="tx1"/>
                  </w14:solidFill>
                </w14:textFill>
              </w:rPr>
              <w:t>年</w:t>
            </w:r>
            <w:r>
              <w:rPr>
                <w:rFonts w:hint="eastAsia" w:ascii="宋体" w:hAnsi="宋体" w:eastAsia="宋体" w:cs="宋体"/>
                <w:color w:val="000000" w:themeColor="text1"/>
                <w:sz w:val="18"/>
                <w:szCs w:val="18"/>
                <w:highlight w:val="none"/>
                <w14:textFill>
                  <w14:solidFill>
                    <w14:schemeClr w14:val="tx1"/>
                  </w14:solidFill>
                </w14:textFill>
              </w:rPr>
              <w:t>3</w:t>
            </w:r>
            <w:r>
              <w:rPr>
                <w:rFonts w:hint="eastAsia" w:ascii="宋体" w:hAnsi="宋体" w:eastAsia="宋体" w:cs="宋体"/>
                <w:color w:val="000000" w:themeColor="text1"/>
                <w:kern w:val="0"/>
                <w:sz w:val="18"/>
                <w:szCs w:val="18"/>
                <w:highlight w:val="none"/>
                <w14:textFill>
                  <w14:solidFill>
                    <w14:schemeClr w14:val="tx1"/>
                  </w14:solidFill>
                </w14:textFill>
              </w:rPr>
              <w:t>月</w:t>
            </w:r>
            <w:r>
              <w:rPr>
                <w:rFonts w:hint="eastAsia" w:ascii="宋体" w:hAnsi="宋体" w:eastAsia="宋体" w:cs="宋体"/>
                <w:color w:val="000000" w:themeColor="text1"/>
                <w:sz w:val="18"/>
                <w:szCs w:val="18"/>
                <w:highlight w:val="none"/>
                <w14:textFill>
                  <w14:solidFill>
                    <w14:schemeClr w14:val="tx1"/>
                  </w14:solidFill>
                </w14:textFill>
              </w:rPr>
              <w:t>15</w:t>
            </w:r>
            <w:r>
              <w:rPr>
                <w:rFonts w:hint="eastAsia" w:ascii="宋体" w:hAnsi="宋体" w:eastAsia="宋体" w:cs="宋体"/>
                <w:color w:val="000000" w:themeColor="text1"/>
                <w:kern w:val="0"/>
                <w:sz w:val="18"/>
                <w:szCs w:val="18"/>
                <w:highlight w:val="none"/>
                <w14:textFill>
                  <w14:solidFill>
                    <w14:schemeClr w14:val="tx1"/>
                  </w14:solidFill>
                </w14:textFill>
              </w:rPr>
              <w:t>日，公司召开第九届董事会</w:t>
            </w:r>
            <w:r>
              <w:rPr>
                <w:rFonts w:hint="eastAsia" w:ascii="宋体" w:hAnsi="宋体" w:eastAsia="宋体" w:cs="宋体"/>
                <w:color w:val="000000" w:themeColor="text1"/>
                <w:sz w:val="18"/>
                <w:szCs w:val="18"/>
                <w:highlight w:val="none"/>
                <w14:textFill>
                  <w14:solidFill>
                    <w14:schemeClr w14:val="tx1"/>
                  </w14:solidFill>
                </w14:textFill>
              </w:rPr>
              <w:t>2021</w:t>
            </w:r>
            <w:r>
              <w:rPr>
                <w:rFonts w:hint="eastAsia" w:ascii="宋体" w:hAnsi="宋体" w:eastAsia="宋体" w:cs="宋体"/>
                <w:color w:val="000000" w:themeColor="text1"/>
                <w:kern w:val="0"/>
                <w:sz w:val="18"/>
                <w:szCs w:val="18"/>
                <w:highlight w:val="none"/>
                <w14:textFill>
                  <w14:solidFill>
                    <w14:schemeClr w14:val="tx1"/>
                  </w14:solidFill>
                </w14:textFill>
              </w:rPr>
              <w:t>年第二次临时会议（通讯表决）和第九届监事会</w:t>
            </w:r>
            <w:r>
              <w:rPr>
                <w:rFonts w:hint="eastAsia" w:ascii="宋体" w:hAnsi="宋体" w:eastAsia="宋体" w:cs="宋体"/>
                <w:color w:val="000000" w:themeColor="text1"/>
                <w:sz w:val="18"/>
                <w:szCs w:val="18"/>
                <w:highlight w:val="none"/>
                <w14:textFill>
                  <w14:solidFill>
                    <w14:schemeClr w14:val="tx1"/>
                  </w14:solidFill>
                </w14:textFill>
              </w:rPr>
              <w:t>2021</w:t>
            </w:r>
            <w:r>
              <w:rPr>
                <w:rFonts w:hint="eastAsia" w:ascii="宋体" w:hAnsi="宋体" w:eastAsia="宋体" w:cs="宋体"/>
                <w:color w:val="000000" w:themeColor="text1"/>
                <w:kern w:val="0"/>
                <w:sz w:val="18"/>
                <w:szCs w:val="18"/>
                <w:highlight w:val="none"/>
                <w14:textFill>
                  <w14:solidFill>
                    <w14:schemeClr w14:val="tx1"/>
                  </w14:solidFill>
                </w14:textFill>
              </w:rPr>
              <w:t>年第一次临时会议（通讯表决），审议通过了《江苏吴中医药发展股份有限公司关于使用部分闲置非公开发行募集资金进行现金管理的议案》，同意公司使用总额不超过人民币</w:t>
            </w:r>
            <w:r>
              <w:rPr>
                <w:rFonts w:hint="eastAsia" w:ascii="宋体" w:hAnsi="宋体" w:eastAsia="宋体" w:cs="宋体"/>
                <w:color w:val="000000" w:themeColor="text1"/>
                <w:sz w:val="18"/>
                <w:szCs w:val="18"/>
                <w:highlight w:val="none"/>
                <w14:textFill>
                  <w14:solidFill>
                    <w14:schemeClr w14:val="tx1"/>
                  </w14:solidFill>
                </w14:textFill>
              </w:rPr>
              <w:t>4,000</w:t>
            </w:r>
            <w:r>
              <w:rPr>
                <w:rFonts w:hint="eastAsia" w:ascii="宋体" w:hAnsi="宋体" w:eastAsia="宋体" w:cs="宋体"/>
                <w:color w:val="000000" w:themeColor="text1"/>
                <w:kern w:val="0"/>
                <w:sz w:val="18"/>
                <w:szCs w:val="18"/>
                <w:highlight w:val="none"/>
                <w14:textFill>
                  <w14:solidFill>
                    <w14:schemeClr w14:val="tx1"/>
                  </w14:solidFill>
                </w14:textFill>
              </w:rPr>
              <w:t>万元的闲置非公开发行募集资金进行现金管理事宜，在上述额度内，资金可以在</w:t>
            </w:r>
            <w:r>
              <w:rPr>
                <w:rFonts w:hint="eastAsia" w:ascii="宋体" w:hAnsi="宋体" w:eastAsia="宋体" w:cs="宋体"/>
                <w:color w:val="000000" w:themeColor="text1"/>
                <w:sz w:val="18"/>
                <w:szCs w:val="18"/>
                <w:highlight w:val="none"/>
                <w14:textFill>
                  <w14:solidFill>
                    <w14:schemeClr w14:val="tx1"/>
                  </w14:solidFill>
                </w14:textFill>
              </w:rPr>
              <w:t>12</w:t>
            </w:r>
            <w:r>
              <w:rPr>
                <w:rFonts w:hint="eastAsia" w:ascii="宋体" w:hAnsi="宋体" w:eastAsia="宋体" w:cs="宋体"/>
                <w:color w:val="000000" w:themeColor="text1"/>
                <w:kern w:val="0"/>
                <w:sz w:val="18"/>
                <w:szCs w:val="18"/>
                <w:highlight w:val="none"/>
                <w14:textFill>
                  <w14:solidFill>
                    <w14:schemeClr w14:val="tx1"/>
                  </w14:solidFill>
                </w14:textFill>
              </w:rPr>
              <w:t>个月内滚动使用。</w:t>
            </w:r>
          </w:p>
          <w:p>
            <w:pPr>
              <w:widowControl/>
              <w:ind w:firstLine="360" w:firstLineChars="200"/>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kern w:val="0"/>
                <w:sz w:val="18"/>
                <w:szCs w:val="18"/>
                <w:highlight w:val="none"/>
                <w14:textFill>
                  <w14:solidFill>
                    <w14:schemeClr w14:val="tx1"/>
                  </w14:solidFill>
                </w14:textFill>
              </w:rPr>
              <w:t>截至</w:t>
            </w:r>
            <w:r>
              <w:rPr>
                <w:rFonts w:hint="eastAsia" w:ascii="宋体" w:hAnsi="宋体" w:eastAsia="宋体" w:cs="宋体"/>
                <w:color w:val="000000" w:themeColor="text1"/>
                <w:sz w:val="18"/>
                <w:szCs w:val="18"/>
                <w:highlight w:val="none"/>
                <w14:textFill>
                  <w14:solidFill>
                    <w14:schemeClr w14:val="tx1"/>
                  </w14:solidFill>
                </w14:textFill>
              </w:rPr>
              <w:t>2023年12月31</w:t>
            </w:r>
            <w:r>
              <w:rPr>
                <w:rFonts w:hint="eastAsia" w:ascii="宋体" w:hAnsi="宋体" w:eastAsia="宋体" w:cs="宋体"/>
                <w:color w:val="000000" w:themeColor="text1"/>
                <w:kern w:val="0"/>
                <w:sz w:val="18"/>
                <w:szCs w:val="18"/>
                <w:highlight w:val="none"/>
                <w14:textFill>
                  <w14:solidFill>
                    <w14:schemeClr w14:val="tx1"/>
                  </w14:solidFill>
                </w14:textFill>
              </w:rPr>
              <w:t>日，理财产品余额为</w:t>
            </w:r>
            <w:r>
              <w:rPr>
                <w:rFonts w:hint="eastAsia" w:ascii="宋体" w:hAnsi="宋体" w:eastAsia="宋体" w:cs="宋体"/>
                <w:color w:val="000000" w:themeColor="text1"/>
                <w:sz w:val="18"/>
                <w:szCs w:val="18"/>
                <w:highlight w:val="none"/>
                <w14:textFill>
                  <w14:solidFill>
                    <w14:schemeClr w14:val="tx1"/>
                  </w14:solidFill>
                </w14:textFill>
              </w:rPr>
              <w:t>0</w:t>
            </w:r>
            <w:r>
              <w:rPr>
                <w:rFonts w:hint="eastAsia" w:ascii="宋体" w:hAnsi="宋体" w:eastAsia="宋体" w:cs="宋体"/>
                <w:color w:val="000000" w:themeColor="text1"/>
                <w:kern w:val="0"/>
                <w:sz w:val="18"/>
                <w:szCs w:val="18"/>
                <w:highlight w:val="none"/>
                <w14:textFill>
                  <w14:solidFill>
                    <w14:schemeClr w14:val="tx1"/>
                  </w14:solidFill>
                </w14:textFill>
              </w:rPr>
              <w:t>万元，公司本报告期内使用闲置募集资金购买理财产品获得收益</w:t>
            </w:r>
            <w:r>
              <w:rPr>
                <w:rFonts w:hint="eastAsia" w:ascii="宋体" w:hAnsi="宋体" w:eastAsia="宋体" w:cs="宋体"/>
                <w:color w:val="000000" w:themeColor="text1"/>
                <w:sz w:val="18"/>
                <w:szCs w:val="18"/>
                <w:highlight w:val="none"/>
                <w14:textFill>
                  <w14:solidFill>
                    <w14:schemeClr w14:val="tx1"/>
                  </w14:solidFill>
                </w14:textFill>
              </w:rPr>
              <w:t>0</w:t>
            </w:r>
            <w:r>
              <w:rPr>
                <w:rFonts w:hint="eastAsia" w:ascii="宋体" w:hAnsi="宋体" w:eastAsia="宋体" w:cs="宋体"/>
                <w:color w:val="000000" w:themeColor="text1"/>
                <w:kern w:val="0"/>
                <w:sz w:val="18"/>
                <w:szCs w:val="18"/>
                <w:highlight w:val="none"/>
                <w14:textFill>
                  <w14:solidFill>
                    <w14:schemeClr w14:val="tx1"/>
                  </w14:solidFill>
                </w14:textFill>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19" w:type="pct"/>
            <w:gridSpan w:val="3"/>
            <w:tcBorders>
              <w:top w:val="dashed" w:color="000000" w:sz="4" w:space="0"/>
              <w:left w:val="nil"/>
              <w:bottom w:val="dashed" w:color="000000" w:sz="4" w:space="0"/>
              <w:right w:val="dashed" w:color="auto" w:sz="4" w:space="0"/>
            </w:tcBorders>
            <w:vAlign w:val="center"/>
          </w:tcPr>
          <w:p>
            <w:pPr>
              <w:widowControl/>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用超募资金永久补充流动资金或归还银行贷款情况</w:t>
            </w:r>
          </w:p>
        </w:tc>
        <w:tc>
          <w:tcPr>
            <w:tcW w:w="3480" w:type="pct"/>
            <w:gridSpan w:val="10"/>
            <w:tcBorders>
              <w:top w:val="dashed" w:color="000000" w:sz="4" w:space="0"/>
              <w:left w:val="dashed" w:color="auto" w:sz="4" w:space="0"/>
              <w:bottom w:val="dashed" w:color="000000" w:sz="4" w:space="0"/>
              <w:right w:val="nil"/>
            </w:tcBorders>
            <w:vAlign w:val="center"/>
          </w:tcPr>
          <w:p>
            <w:pPr>
              <w:widowControl/>
              <w:jc w:val="center"/>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kern w:val="0"/>
                <w:sz w:val="18"/>
                <w:szCs w:val="18"/>
                <w:highlight w:val="none"/>
                <w14:textFill>
                  <w14:solidFill>
                    <w14:schemeClr w14:val="tx1"/>
                  </w14:solidFill>
                </w14:textFill>
              </w:rPr>
              <w:t>不适用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19" w:type="pct"/>
            <w:gridSpan w:val="3"/>
            <w:tcBorders>
              <w:top w:val="dashed" w:color="000000" w:sz="4" w:space="0"/>
              <w:left w:val="nil"/>
              <w:bottom w:val="dashed" w:color="000000" w:sz="4" w:space="0"/>
              <w:right w:val="dashed" w:color="auto" w:sz="4" w:space="0"/>
            </w:tcBorders>
            <w:vAlign w:val="center"/>
          </w:tcPr>
          <w:p>
            <w:pPr>
              <w:widowControl/>
              <w:jc w:val="center"/>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kern w:val="0"/>
                <w:sz w:val="18"/>
                <w:szCs w:val="18"/>
                <w:highlight w:val="none"/>
                <w14:textFill>
                  <w14:solidFill>
                    <w14:schemeClr w14:val="tx1"/>
                  </w14:solidFill>
                </w14:textFill>
              </w:rPr>
              <w:t>募集资金结余的金额及形成原因</w:t>
            </w:r>
          </w:p>
        </w:tc>
        <w:tc>
          <w:tcPr>
            <w:tcW w:w="3480" w:type="pct"/>
            <w:gridSpan w:val="10"/>
            <w:tcBorders>
              <w:top w:val="dashed" w:color="000000" w:sz="4" w:space="0"/>
              <w:left w:val="dashed" w:color="auto" w:sz="4" w:space="0"/>
              <w:bottom w:val="dashed" w:color="000000" w:sz="4" w:space="0"/>
              <w:right w:val="nil"/>
            </w:tcBorders>
            <w:vAlign w:val="center"/>
          </w:tcPr>
          <w:p>
            <w:pPr>
              <w:widowControl/>
              <w:jc w:val="center"/>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kern w:val="0"/>
                <w:sz w:val="18"/>
                <w:szCs w:val="18"/>
                <w:highlight w:val="none"/>
                <w14:textFill>
                  <w14:solidFill>
                    <w14:schemeClr w14:val="tx1"/>
                  </w14:solidFill>
                </w14:textFill>
              </w:rPr>
              <w:t>不适用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19" w:type="pct"/>
            <w:gridSpan w:val="3"/>
            <w:tcBorders>
              <w:top w:val="dashed" w:color="000000" w:sz="4" w:space="0"/>
              <w:left w:val="nil"/>
              <w:right w:val="dashed" w:color="auto" w:sz="4" w:space="0"/>
            </w:tcBorders>
            <w:vAlign w:val="center"/>
          </w:tcPr>
          <w:p>
            <w:pPr>
              <w:widowControl/>
              <w:jc w:val="center"/>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kern w:val="0"/>
                <w:sz w:val="18"/>
                <w:szCs w:val="18"/>
                <w:highlight w:val="none"/>
                <w14:textFill>
                  <w14:solidFill>
                    <w14:schemeClr w14:val="tx1"/>
                  </w14:solidFill>
                </w14:textFill>
              </w:rPr>
              <w:t>募集资金其他使用情况</w:t>
            </w:r>
          </w:p>
        </w:tc>
        <w:tc>
          <w:tcPr>
            <w:tcW w:w="3480" w:type="pct"/>
            <w:gridSpan w:val="10"/>
            <w:tcBorders>
              <w:top w:val="dashed" w:color="000000" w:sz="4" w:space="0"/>
              <w:left w:val="dashed" w:color="auto" w:sz="4" w:space="0"/>
              <w:right w:val="nil"/>
            </w:tcBorders>
            <w:vAlign w:val="center"/>
          </w:tcPr>
          <w:p>
            <w:pPr>
              <w:widowControl/>
              <w:jc w:val="center"/>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kern w:val="0"/>
                <w:sz w:val="18"/>
                <w:szCs w:val="18"/>
                <w:highlight w:val="none"/>
                <w14:textFill>
                  <w14:solidFill>
                    <w14:schemeClr w14:val="tx1"/>
                  </w14:solidFill>
                </w14:textFill>
              </w:rPr>
              <w:t>不适用</w:t>
            </w:r>
          </w:p>
        </w:tc>
      </w:tr>
    </w:tbl>
    <w:p>
      <w:pPr>
        <w:widowControl/>
        <w:spacing w:line="440" w:lineRule="exact"/>
        <w:ind w:firstLine="420" w:firstLineChars="200"/>
        <w:jc w:val="left"/>
        <w:rPr>
          <w:rFonts w:hint="eastAsia" w:ascii="宋体" w:hAnsi="宋体" w:eastAsia="宋体" w:cs="宋体"/>
          <w:color w:val="000000" w:themeColor="text1"/>
          <w:kern w:val="0"/>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注</w:t>
      </w:r>
      <w:r>
        <w:rPr>
          <w:rFonts w:hint="eastAsia" w:ascii="宋体" w:hAnsi="宋体" w:eastAsia="宋体" w:cs="宋体"/>
          <w:color w:val="000000" w:themeColor="text1"/>
          <w:szCs w:val="21"/>
          <w:highlight w:val="none"/>
          <w14:textFill>
            <w14:solidFill>
              <w14:schemeClr w14:val="tx1"/>
            </w14:solidFill>
          </w14:textFill>
        </w:rPr>
        <w:t>3</w:t>
      </w:r>
      <w:r>
        <w:rPr>
          <w:rFonts w:hint="eastAsia" w:ascii="宋体" w:hAnsi="宋体" w:eastAsia="宋体" w:cs="宋体"/>
          <w:color w:val="000000" w:themeColor="text1"/>
          <w:kern w:val="0"/>
          <w:szCs w:val="21"/>
          <w:highlight w:val="none"/>
          <w14:textFill>
            <w14:solidFill>
              <w14:schemeClr w14:val="tx1"/>
            </w14:solidFill>
          </w14:textFill>
        </w:rPr>
        <w:t>：原料药（河东）、制剂（河西）调整改建项目本年度实现的效益，依照江苏省医药设计院研究有限公司于</w:t>
      </w:r>
      <w:r>
        <w:rPr>
          <w:rFonts w:hint="eastAsia" w:ascii="宋体" w:hAnsi="宋体" w:eastAsia="宋体" w:cs="宋体"/>
          <w:color w:val="000000" w:themeColor="text1"/>
          <w:szCs w:val="21"/>
          <w:highlight w:val="none"/>
          <w14:textFill>
            <w14:solidFill>
              <w14:schemeClr w14:val="tx1"/>
            </w14:solidFill>
          </w14:textFill>
        </w:rPr>
        <w:t>2014</w:t>
      </w:r>
      <w:r>
        <w:rPr>
          <w:rFonts w:hint="eastAsia" w:ascii="宋体" w:hAnsi="宋体" w:eastAsia="宋体" w:cs="宋体"/>
          <w:color w:val="000000" w:themeColor="text1"/>
          <w:kern w:val="0"/>
          <w:szCs w:val="21"/>
          <w:highlight w:val="none"/>
          <w14:textFill>
            <w14:solidFill>
              <w14:schemeClr w14:val="tx1"/>
            </w14:solidFill>
          </w14:textFill>
        </w:rPr>
        <w:t>年</w:t>
      </w:r>
      <w:r>
        <w:rPr>
          <w:rFonts w:hint="eastAsia" w:ascii="宋体" w:hAnsi="宋体" w:eastAsia="宋体" w:cs="宋体"/>
          <w:color w:val="000000" w:themeColor="text1"/>
          <w:szCs w:val="21"/>
          <w:highlight w:val="none"/>
          <w14:textFill>
            <w14:solidFill>
              <w14:schemeClr w14:val="tx1"/>
            </w14:solidFill>
          </w14:textFill>
        </w:rPr>
        <w:t>12</w:t>
      </w:r>
      <w:r>
        <w:rPr>
          <w:rFonts w:hint="eastAsia" w:ascii="宋体" w:hAnsi="宋体" w:eastAsia="宋体" w:cs="宋体"/>
          <w:color w:val="000000" w:themeColor="text1"/>
          <w:kern w:val="0"/>
          <w:szCs w:val="21"/>
          <w:highlight w:val="none"/>
          <w14:textFill>
            <w14:solidFill>
              <w14:schemeClr w14:val="tx1"/>
            </w14:solidFill>
          </w14:textFill>
        </w:rPr>
        <w:t>月江苏吴中医药集团有限公司苏州制药厂出具的《原料药（河东）、制剂（河西）调整改建项目可行性研究报告》中对建设项目财务分析的相关方式进行效益计算，其中：销售收入按该募投项目相关产品销售收入；相关税金及附加按国家规定比例扣减；相关成本按实际发生数扣减；相关费用参照可行性报告按销售收入比例估算。</w:t>
      </w:r>
    </w:p>
    <w:p>
      <w:pPr>
        <w:widowControl/>
        <w:spacing w:line="440" w:lineRule="exact"/>
        <w:ind w:firstLine="420" w:firstLineChars="200"/>
        <w:jc w:val="left"/>
        <w:rPr>
          <w:rFonts w:hint="eastAsia" w:ascii="宋体" w:hAnsi="宋体" w:eastAsia="宋体" w:cs="宋体"/>
          <w:color w:val="000000" w:themeColor="text1"/>
          <w:kern w:val="0"/>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注</w:t>
      </w:r>
      <w:r>
        <w:rPr>
          <w:rFonts w:hint="eastAsia" w:ascii="宋体" w:hAnsi="宋体" w:eastAsia="宋体" w:cs="宋体"/>
          <w:color w:val="000000" w:themeColor="text1"/>
          <w:szCs w:val="21"/>
          <w:highlight w:val="none"/>
          <w14:textFill>
            <w14:solidFill>
              <w14:schemeClr w14:val="tx1"/>
            </w14:solidFill>
          </w14:textFill>
        </w:rPr>
        <w:t>4</w:t>
      </w:r>
      <w:r>
        <w:rPr>
          <w:rFonts w:hint="eastAsia" w:ascii="宋体" w:hAnsi="宋体" w:eastAsia="宋体" w:cs="宋体"/>
          <w:color w:val="000000" w:themeColor="text1"/>
          <w:kern w:val="0"/>
          <w:szCs w:val="21"/>
          <w:highlight w:val="none"/>
          <w14:textFill>
            <w14:solidFill>
              <w14:schemeClr w14:val="tx1"/>
            </w14:solidFill>
          </w14:textFill>
        </w:rPr>
        <w:t>：受市场影响,主产品匹多莫德产量及售价大幅下降，导致原料药（河东）、制剂（河西）调整改建项目效益不及预期。</w:t>
      </w:r>
    </w:p>
    <w:p>
      <w:pPr>
        <w:widowControl/>
        <w:spacing w:line="440" w:lineRule="exact"/>
        <w:ind w:firstLine="420" w:firstLineChars="200"/>
        <w:jc w:val="left"/>
        <w:rPr>
          <w:rFonts w:hint="eastAsia" w:ascii="宋体" w:hAnsi="宋体" w:eastAsia="宋体" w:cs="宋体"/>
          <w:color w:val="000000" w:themeColor="text1"/>
          <w:kern w:val="0"/>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注</w:t>
      </w:r>
      <w:r>
        <w:rPr>
          <w:rFonts w:hint="eastAsia" w:ascii="宋体" w:hAnsi="宋体" w:eastAsia="宋体" w:cs="宋体"/>
          <w:color w:val="000000" w:themeColor="text1"/>
          <w:szCs w:val="21"/>
          <w:highlight w:val="none"/>
          <w14:textFill>
            <w14:solidFill>
              <w14:schemeClr w14:val="tx1"/>
            </w14:solidFill>
          </w14:textFill>
        </w:rPr>
        <w:t>5</w:t>
      </w:r>
      <w:r>
        <w:rPr>
          <w:rFonts w:hint="eastAsia" w:ascii="宋体" w:hAnsi="宋体" w:eastAsia="宋体" w:cs="宋体"/>
          <w:color w:val="000000" w:themeColor="text1"/>
          <w:kern w:val="0"/>
          <w:szCs w:val="21"/>
          <w:highlight w:val="none"/>
          <w14:textFill>
            <w14:solidFill>
              <w14:schemeClr w14:val="tx1"/>
            </w14:solidFill>
          </w14:textFill>
        </w:rPr>
        <w:t>：药品自动化立体仓库项目本年度实现的效益，依照江苏省医药设计院研究有限公司于</w:t>
      </w:r>
      <w:r>
        <w:rPr>
          <w:rFonts w:hint="eastAsia" w:ascii="宋体" w:hAnsi="宋体" w:eastAsia="宋体" w:cs="宋体"/>
          <w:color w:val="000000" w:themeColor="text1"/>
          <w:szCs w:val="21"/>
          <w:highlight w:val="none"/>
          <w14:textFill>
            <w14:solidFill>
              <w14:schemeClr w14:val="tx1"/>
            </w14:solidFill>
          </w14:textFill>
        </w:rPr>
        <w:t>2014</w:t>
      </w:r>
      <w:r>
        <w:rPr>
          <w:rFonts w:hint="eastAsia" w:ascii="宋体" w:hAnsi="宋体" w:eastAsia="宋体" w:cs="宋体"/>
          <w:color w:val="000000" w:themeColor="text1"/>
          <w:kern w:val="0"/>
          <w:szCs w:val="21"/>
          <w:highlight w:val="none"/>
          <w14:textFill>
            <w14:solidFill>
              <w14:schemeClr w14:val="tx1"/>
            </w14:solidFill>
          </w14:textFill>
        </w:rPr>
        <w:t>年</w:t>
      </w:r>
      <w:r>
        <w:rPr>
          <w:rFonts w:hint="eastAsia" w:ascii="宋体" w:hAnsi="宋体" w:eastAsia="宋体" w:cs="宋体"/>
          <w:color w:val="000000" w:themeColor="text1"/>
          <w:szCs w:val="21"/>
          <w:highlight w:val="none"/>
          <w14:textFill>
            <w14:solidFill>
              <w14:schemeClr w14:val="tx1"/>
            </w14:solidFill>
          </w14:textFill>
        </w:rPr>
        <w:t>12</w:t>
      </w:r>
      <w:r>
        <w:rPr>
          <w:rFonts w:hint="eastAsia" w:ascii="宋体" w:hAnsi="宋体" w:eastAsia="宋体" w:cs="宋体"/>
          <w:color w:val="000000" w:themeColor="text1"/>
          <w:kern w:val="0"/>
          <w:szCs w:val="21"/>
          <w:highlight w:val="none"/>
          <w14:textFill>
            <w14:solidFill>
              <w14:schemeClr w14:val="tx1"/>
            </w14:solidFill>
          </w14:textFill>
        </w:rPr>
        <w:t>月为江苏吴中医药销售有限公司出具的《药品自动化立体仓库项目可行性研究报告》中对建设项目财务分析的相关方式进行效益计算，即用仓储的净利润额进行比较获得效益数据，其中；仓储收入按仓储药品货值的</w:t>
      </w:r>
      <w:r>
        <w:rPr>
          <w:rFonts w:hint="eastAsia" w:ascii="宋体" w:hAnsi="宋体" w:eastAsia="宋体" w:cs="宋体"/>
          <w:color w:val="000000" w:themeColor="text1"/>
          <w:szCs w:val="21"/>
          <w:highlight w:val="none"/>
          <w14:textFill>
            <w14:solidFill>
              <w14:schemeClr w14:val="tx1"/>
            </w14:solidFill>
          </w14:textFill>
        </w:rPr>
        <w:t>5</w:t>
      </w:r>
      <w:r>
        <w:rPr>
          <w:rFonts w:hint="eastAsia" w:ascii="宋体" w:hAnsi="宋体" w:eastAsia="宋体" w:cs="宋体"/>
          <w:color w:val="000000" w:themeColor="text1"/>
          <w:kern w:val="0"/>
          <w:szCs w:val="21"/>
          <w:highlight w:val="none"/>
          <w14:textFill>
            <w14:solidFill>
              <w14:schemeClr w14:val="tx1"/>
            </w14:solidFill>
          </w14:textFill>
        </w:rPr>
        <w:t>%（含税）的毛利率计算；相关税金及附加按国家相关规定比例扣减；相关成本和费用按仓库运营中实际发生数扣减。</w:t>
      </w:r>
    </w:p>
    <w:p>
      <w:pPr>
        <w:widowControl/>
        <w:spacing w:line="440" w:lineRule="exact"/>
        <w:ind w:firstLine="420" w:firstLineChars="200"/>
        <w:jc w:val="left"/>
        <w:rPr>
          <w:rFonts w:hint="eastAsia" w:ascii="宋体" w:hAnsi="宋体" w:eastAsia="宋体" w:cs="宋体"/>
          <w:color w:val="000000" w:themeColor="text1"/>
          <w:kern w:val="0"/>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注</w:t>
      </w:r>
      <w:r>
        <w:rPr>
          <w:rFonts w:hint="eastAsia" w:ascii="宋体" w:hAnsi="宋体" w:eastAsia="宋体" w:cs="宋体"/>
          <w:color w:val="000000" w:themeColor="text1"/>
          <w:szCs w:val="21"/>
          <w:highlight w:val="none"/>
          <w14:textFill>
            <w14:solidFill>
              <w14:schemeClr w14:val="tx1"/>
            </w14:solidFill>
          </w14:textFill>
        </w:rPr>
        <w:t>10</w:t>
      </w:r>
      <w:r>
        <w:rPr>
          <w:rFonts w:hint="eastAsia" w:ascii="宋体" w:hAnsi="宋体" w:eastAsia="宋体" w:cs="宋体"/>
          <w:color w:val="000000" w:themeColor="text1"/>
          <w:kern w:val="0"/>
          <w:szCs w:val="21"/>
          <w:highlight w:val="none"/>
          <w14:textFill>
            <w14:solidFill>
              <w14:schemeClr w14:val="tx1"/>
            </w14:solidFill>
          </w14:textFill>
        </w:rPr>
        <w:t>：已累计投入募集资金总额包含募集资金现金管理所获收益后再投入金额。</w:t>
      </w:r>
    </w:p>
    <w:p>
      <w:pPr>
        <w:widowControl/>
        <w:spacing w:line="440" w:lineRule="exact"/>
        <w:ind w:firstLine="420" w:firstLineChars="200"/>
        <w:jc w:val="left"/>
        <w:rPr>
          <w:rFonts w:hint="eastAsia" w:ascii="宋体" w:hAnsi="宋体" w:eastAsia="宋体" w:cs="宋体"/>
          <w:color w:val="000000" w:themeColor="text1"/>
          <w:kern w:val="0"/>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注：“本年度投入募集资金总额”包括募集资金到账后“本年度投入金额”及实际已置换先期投入金额。</w:t>
      </w:r>
    </w:p>
    <w:p>
      <w:pPr>
        <w:widowControl/>
        <w:spacing w:line="440" w:lineRule="exact"/>
        <w:ind w:firstLine="420" w:firstLineChars="200"/>
        <w:jc w:val="left"/>
        <w:rPr>
          <w:rFonts w:hint="eastAsia" w:ascii="宋体" w:hAnsi="宋体" w:eastAsia="宋体" w:cs="宋体"/>
          <w:color w:val="000000" w:themeColor="text1"/>
          <w:kern w:val="0"/>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注：“截至期末承诺投入金额”以最近一次已披露募集资金投资计划为依据确定。</w:t>
      </w:r>
    </w:p>
    <w:p>
      <w:pPr>
        <w:widowControl/>
        <w:spacing w:line="440" w:lineRule="exact"/>
        <w:ind w:firstLine="420" w:firstLineChars="200"/>
        <w:jc w:val="left"/>
        <w:rPr>
          <w:rFonts w:ascii="宋体" w:hAnsi="宋体" w:cs="宋体"/>
          <w:kern w:val="0"/>
          <w:szCs w:val="21"/>
          <w:highlight w:val="none"/>
        </w:rPr>
      </w:pPr>
      <w:r>
        <w:rPr>
          <w:rFonts w:hint="eastAsia" w:ascii="宋体" w:hAnsi="宋体" w:eastAsia="宋体" w:cs="宋体"/>
          <w:color w:val="000000" w:themeColor="text1"/>
          <w:kern w:val="0"/>
          <w:szCs w:val="21"/>
          <w:highlight w:val="none"/>
          <w14:textFill>
            <w14:solidFill>
              <w14:schemeClr w14:val="tx1"/>
            </w14:solidFill>
          </w14:textFill>
        </w:rPr>
        <w:t>注：“本年度实现的效益”的计算口径、计算方法应与承诺效益的计算口径、计算方法一致。</w:t>
      </w:r>
    </w:p>
    <w:p>
      <w:pPr>
        <w:spacing w:line="460" w:lineRule="exact"/>
        <w:ind w:right="420"/>
        <w:rPr>
          <w:rFonts w:ascii="黑体" w:hAnsi="宋体" w:eastAsia="黑体" w:cs="宋体"/>
          <w:b/>
          <w:bCs/>
          <w:kern w:val="0"/>
          <w:sz w:val="28"/>
          <w:szCs w:val="28"/>
          <w:highlight w:val="none"/>
        </w:rPr>
      </w:pPr>
      <w:r>
        <w:rPr>
          <w:rFonts w:ascii="宋体" w:hAnsi="宋体" w:cs="宋体"/>
          <w:kern w:val="0"/>
          <w:szCs w:val="21"/>
          <w:highlight w:val="none"/>
        </w:rPr>
        <w:br w:type="page"/>
      </w:r>
      <w:r>
        <w:rPr>
          <w:rFonts w:hint="eastAsia" w:ascii="宋体" w:hAnsi="宋体" w:cs="宋体"/>
          <w:kern w:val="0"/>
          <w:szCs w:val="21"/>
          <w:highlight w:val="none"/>
        </w:rPr>
        <w:t>附件2</w:t>
      </w:r>
    </w:p>
    <w:p>
      <w:pPr>
        <w:spacing w:line="460" w:lineRule="exact"/>
        <w:ind w:right="420"/>
        <w:jc w:val="center"/>
        <w:rPr>
          <w:rFonts w:ascii="黑体" w:hAnsi="宋体" w:eastAsia="黑体" w:cs="宋体"/>
          <w:b/>
          <w:bCs/>
          <w:kern w:val="0"/>
          <w:sz w:val="28"/>
          <w:szCs w:val="28"/>
          <w:highlight w:val="none"/>
        </w:rPr>
      </w:pPr>
      <w:r>
        <w:rPr>
          <w:rFonts w:hint="eastAsia" w:ascii="黑体" w:hAnsi="宋体" w:eastAsia="黑体" w:cs="宋体"/>
          <w:b/>
          <w:bCs/>
          <w:kern w:val="0"/>
          <w:sz w:val="28"/>
          <w:szCs w:val="28"/>
          <w:highlight w:val="none"/>
        </w:rPr>
        <w:t>变更募集资金投资项目情况表</w:t>
      </w:r>
    </w:p>
    <w:p>
      <w:pPr>
        <w:spacing w:line="460" w:lineRule="exact"/>
        <w:ind w:right="420"/>
        <w:jc w:val="center"/>
        <w:rPr>
          <w:rFonts w:ascii="宋体" w:hAnsi="宋体" w:cs="宋体"/>
          <w:kern w:val="0"/>
          <w:szCs w:val="21"/>
          <w:highlight w:val="none"/>
        </w:rPr>
      </w:pPr>
      <w:r>
        <w:rPr>
          <w:rFonts w:hint="eastAsia" w:ascii="宋体" w:hAnsi="宋体" w:cs="宋体"/>
          <w:kern w:val="0"/>
          <w:szCs w:val="21"/>
          <w:highlight w:val="none"/>
        </w:rPr>
        <w:t>202</w:t>
      </w:r>
      <w:r>
        <w:rPr>
          <w:rFonts w:hint="eastAsia" w:ascii="宋体" w:hAnsi="宋体" w:cs="宋体"/>
          <w:kern w:val="0"/>
          <w:szCs w:val="21"/>
          <w:highlight w:val="none"/>
          <w:lang w:val="en-US" w:eastAsia="zh-CN"/>
        </w:rPr>
        <w:t>3</w:t>
      </w:r>
      <w:r>
        <w:rPr>
          <w:rFonts w:hint="eastAsia" w:ascii="宋体" w:hAnsi="宋体" w:cs="宋体"/>
          <w:kern w:val="0"/>
          <w:szCs w:val="21"/>
          <w:highlight w:val="none"/>
        </w:rPr>
        <w:t>年</w:t>
      </w:r>
    </w:p>
    <w:p>
      <w:pPr>
        <w:spacing w:line="460" w:lineRule="exact"/>
        <w:ind w:left="-2" w:leftChars="-1" w:right="-802"/>
        <w:rPr>
          <w:rFonts w:ascii="宋体" w:hAnsi="宋体"/>
          <w:szCs w:val="21"/>
          <w:highlight w:val="none"/>
        </w:rPr>
      </w:pPr>
      <w:r>
        <w:rPr>
          <w:rFonts w:hint="eastAsia" w:ascii="宋体" w:hAnsi="宋体" w:cs="宋体"/>
          <w:kern w:val="0"/>
          <w:szCs w:val="21"/>
          <w:highlight w:val="none"/>
        </w:rPr>
        <w:t>编制单位：江苏吴中医药发展股份有限公司</w:t>
      </w:r>
      <w:r>
        <w:rPr>
          <w:rFonts w:hint="eastAsia" w:ascii="宋体" w:hAnsi="宋体" w:cs="宋体"/>
          <w:kern w:val="0"/>
          <w:szCs w:val="21"/>
          <w:highlight w:val="none"/>
        </w:rPr>
        <w:tab/>
      </w:r>
      <w:r>
        <w:rPr>
          <w:rFonts w:hint="eastAsia" w:ascii="宋体" w:hAnsi="宋体" w:cs="宋体"/>
          <w:kern w:val="0"/>
          <w:szCs w:val="21"/>
          <w:highlight w:val="none"/>
        </w:rPr>
        <w:tab/>
      </w:r>
      <w:r>
        <w:rPr>
          <w:rFonts w:hint="eastAsia" w:ascii="宋体" w:hAnsi="宋体" w:cs="宋体"/>
          <w:kern w:val="0"/>
          <w:szCs w:val="21"/>
          <w:highlight w:val="none"/>
        </w:rPr>
        <w:tab/>
      </w:r>
      <w:r>
        <w:rPr>
          <w:rFonts w:hint="eastAsia" w:ascii="宋体" w:hAnsi="宋体" w:cs="宋体"/>
          <w:kern w:val="0"/>
          <w:szCs w:val="21"/>
          <w:highlight w:val="none"/>
        </w:rPr>
        <w:tab/>
      </w:r>
      <w:r>
        <w:rPr>
          <w:rFonts w:hint="eastAsia" w:ascii="宋体" w:hAnsi="宋体" w:cs="宋体"/>
          <w:kern w:val="0"/>
          <w:szCs w:val="21"/>
          <w:highlight w:val="none"/>
        </w:rPr>
        <w:tab/>
      </w:r>
      <w:r>
        <w:rPr>
          <w:rFonts w:hint="eastAsia" w:ascii="宋体" w:hAnsi="宋体" w:cs="宋体"/>
          <w:kern w:val="0"/>
          <w:szCs w:val="21"/>
          <w:highlight w:val="none"/>
        </w:rPr>
        <w:tab/>
      </w:r>
      <w:r>
        <w:rPr>
          <w:rFonts w:hint="eastAsia" w:ascii="宋体" w:hAnsi="宋体" w:cs="宋体"/>
          <w:kern w:val="0"/>
          <w:szCs w:val="21"/>
          <w:highlight w:val="none"/>
        </w:rPr>
        <w:tab/>
      </w:r>
      <w:r>
        <w:rPr>
          <w:rFonts w:hint="eastAsia" w:ascii="宋体" w:hAnsi="宋体" w:cs="宋体"/>
          <w:kern w:val="0"/>
          <w:szCs w:val="21"/>
          <w:highlight w:val="none"/>
        </w:rPr>
        <w:tab/>
      </w:r>
      <w:r>
        <w:rPr>
          <w:rFonts w:hint="eastAsia" w:ascii="宋体" w:hAnsi="宋体" w:cs="宋体"/>
          <w:kern w:val="0"/>
          <w:szCs w:val="21"/>
          <w:highlight w:val="none"/>
        </w:rPr>
        <w:tab/>
      </w:r>
      <w:r>
        <w:rPr>
          <w:rFonts w:hint="eastAsia" w:ascii="宋体" w:hAnsi="宋体" w:cs="宋体"/>
          <w:kern w:val="0"/>
          <w:szCs w:val="21"/>
          <w:highlight w:val="none"/>
        </w:rPr>
        <w:tab/>
      </w:r>
      <w:r>
        <w:rPr>
          <w:rFonts w:hint="eastAsia" w:ascii="宋体" w:hAnsi="宋体" w:cs="宋体"/>
          <w:kern w:val="0"/>
          <w:szCs w:val="21"/>
          <w:highlight w:val="none"/>
        </w:rPr>
        <w:tab/>
      </w:r>
      <w:r>
        <w:rPr>
          <w:rFonts w:hint="eastAsia" w:ascii="宋体" w:hAnsi="宋体" w:cs="宋体"/>
          <w:kern w:val="0"/>
          <w:szCs w:val="21"/>
          <w:highlight w:val="none"/>
        </w:rPr>
        <w:tab/>
      </w:r>
      <w:r>
        <w:rPr>
          <w:rFonts w:hint="eastAsia" w:ascii="宋体" w:hAnsi="宋体" w:cs="宋体"/>
          <w:kern w:val="0"/>
          <w:szCs w:val="21"/>
          <w:highlight w:val="none"/>
        </w:rPr>
        <w:tab/>
      </w:r>
      <w:r>
        <w:rPr>
          <w:rFonts w:hint="eastAsia" w:ascii="宋体" w:hAnsi="宋体" w:cs="宋体"/>
          <w:kern w:val="0"/>
          <w:szCs w:val="21"/>
          <w:highlight w:val="none"/>
        </w:rPr>
        <w:tab/>
      </w:r>
      <w:r>
        <w:rPr>
          <w:rFonts w:hint="eastAsia" w:ascii="宋体" w:hAnsi="宋体" w:cs="宋体"/>
          <w:kern w:val="0"/>
          <w:szCs w:val="21"/>
          <w:highlight w:val="none"/>
        </w:rPr>
        <w:tab/>
      </w:r>
      <w:r>
        <w:rPr>
          <w:rFonts w:hint="eastAsia" w:ascii="宋体" w:hAnsi="宋体" w:cs="宋体"/>
          <w:kern w:val="0"/>
          <w:szCs w:val="21"/>
          <w:highlight w:val="none"/>
        </w:rPr>
        <w:tab/>
      </w:r>
      <w:r>
        <w:rPr>
          <w:rFonts w:hint="eastAsia" w:ascii="宋体" w:hAnsi="宋体" w:cs="宋体"/>
          <w:kern w:val="0"/>
          <w:szCs w:val="21"/>
          <w:highlight w:val="none"/>
        </w:rPr>
        <w:tab/>
      </w:r>
      <w:r>
        <w:rPr>
          <w:rFonts w:hint="eastAsia" w:ascii="宋体" w:hAnsi="宋体" w:cs="宋体"/>
          <w:kern w:val="0"/>
          <w:szCs w:val="21"/>
          <w:highlight w:val="none"/>
        </w:rPr>
        <w:tab/>
      </w:r>
      <w:r>
        <w:rPr>
          <w:rFonts w:hint="eastAsia" w:ascii="宋体" w:hAnsi="宋体" w:cs="宋体"/>
          <w:kern w:val="0"/>
          <w:szCs w:val="21"/>
          <w:highlight w:val="none"/>
        </w:rPr>
        <w:tab/>
      </w:r>
      <w:r>
        <w:rPr>
          <w:rFonts w:hint="eastAsia" w:ascii="宋体" w:hAnsi="宋体" w:cs="宋体"/>
          <w:kern w:val="0"/>
          <w:szCs w:val="21"/>
          <w:highlight w:val="none"/>
        </w:rPr>
        <w:tab/>
      </w:r>
      <w:r>
        <w:rPr>
          <w:rFonts w:hint="eastAsia" w:ascii="宋体" w:hAnsi="宋体" w:cs="宋体"/>
          <w:kern w:val="0"/>
          <w:szCs w:val="21"/>
          <w:highlight w:val="none"/>
        </w:rPr>
        <w:tab/>
      </w:r>
      <w:r>
        <w:rPr>
          <w:rFonts w:hint="eastAsia" w:ascii="宋体" w:hAnsi="宋体" w:cs="宋体"/>
          <w:kern w:val="0"/>
          <w:szCs w:val="21"/>
          <w:highlight w:val="none"/>
        </w:rPr>
        <w:t>单位：人民币万元</w:t>
      </w:r>
    </w:p>
    <w:tbl>
      <w:tblPr>
        <w:tblStyle w:val="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6"/>
        <w:gridCol w:w="1710"/>
        <w:gridCol w:w="1005"/>
        <w:gridCol w:w="1137"/>
        <w:gridCol w:w="1214"/>
        <w:gridCol w:w="1421"/>
        <w:gridCol w:w="1591"/>
        <w:gridCol w:w="1545"/>
        <w:gridCol w:w="1025"/>
        <w:gridCol w:w="1080"/>
        <w:gridCol w:w="14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5" w:hRule="atLeast"/>
        </w:trPr>
        <w:tc>
          <w:tcPr>
            <w:tcW w:w="354" w:type="pct"/>
            <w:tcBorders>
              <w:left w:val="nil"/>
              <w:bottom w:val="dashSmallGap" w:color="auto" w:sz="4" w:space="0"/>
              <w:right w:val="dashSmallGap" w:color="auto" w:sz="4" w:space="0"/>
            </w:tcBorders>
          </w:tcPr>
          <w:p>
            <w:pPr>
              <w:widowControl/>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kern w:val="0"/>
                <w:sz w:val="18"/>
                <w:szCs w:val="18"/>
                <w:highlight w:val="none"/>
                <w14:textFill>
                  <w14:solidFill>
                    <w14:schemeClr w14:val="tx1"/>
                  </w14:solidFill>
                </w14:textFill>
              </w:rPr>
              <w:t>变更后的项目</w:t>
            </w:r>
          </w:p>
        </w:tc>
        <w:tc>
          <w:tcPr>
            <w:tcW w:w="603" w:type="pct"/>
            <w:tcBorders>
              <w:left w:val="dashSmallGap" w:color="auto" w:sz="4" w:space="0"/>
              <w:bottom w:val="dashSmallGap" w:color="auto" w:sz="4" w:space="0"/>
              <w:right w:val="dashSmallGap" w:color="auto" w:sz="4" w:space="0"/>
            </w:tcBorders>
          </w:tcPr>
          <w:p>
            <w:pPr>
              <w:widowControl/>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kern w:val="0"/>
                <w:sz w:val="18"/>
                <w:szCs w:val="18"/>
                <w:highlight w:val="none"/>
                <w14:textFill>
                  <w14:solidFill>
                    <w14:schemeClr w14:val="tx1"/>
                  </w14:solidFill>
                </w14:textFill>
              </w:rPr>
              <w:t>对应的原项目</w:t>
            </w:r>
          </w:p>
        </w:tc>
        <w:tc>
          <w:tcPr>
            <w:tcW w:w="354" w:type="pct"/>
            <w:tcBorders>
              <w:left w:val="dashSmallGap" w:color="auto" w:sz="4" w:space="0"/>
              <w:bottom w:val="dashSmallGap" w:color="auto" w:sz="4" w:space="0"/>
              <w:right w:val="dashSmallGap" w:color="auto" w:sz="4" w:space="0"/>
            </w:tcBorders>
          </w:tcPr>
          <w:p>
            <w:pPr>
              <w:widowControl/>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kern w:val="0"/>
                <w:sz w:val="18"/>
                <w:szCs w:val="18"/>
                <w:highlight w:val="none"/>
                <w14:textFill>
                  <w14:solidFill>
                    <w14:schemeClr w14:val="tx1"/>
                  </w14:solidFill>
                </w14:textFill>
              </w:rPr>
              <w:t>变更后项目拟投入募集资金总额</w:t>
            </w:r>
          </w:p>
        </w:tc>
        <w:tc>
          <w:tcPr>
            <w:tcW w:w="401" w:type="pct"/>
            <w:tcBorders>
              <w:left w:val="dashSmallGap" w:color="auto" w:sz="4" w:space="0"/>
              <w:bottom w:val="dashSmallGap" w:color="auto" w:sz="4" w:space="0"/>
              <w:right w:val="dashSmallGap" w:color="auto" w:sz="4" w:space="0"/>
            </w:tcBorders>
          </w:tcPr>
          <w:p>
            <w:pPr>
              <w:widowControl/>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截至</w:t>
            </w:r>
            <w:r>
              <w:rPr>
                <w:rFonts w:hint="eastAsia" w:ascii="宋体" w:hAnsi="宋体" w:eastAsia="宋体" w:cs="宋体"/>
                <w:color w:val="000000" w:themeColor="text1"/>
                <w:kern w:val="0"/>
                <w:sz w:val="18"/>
                <w:szCs w:val="18"/>
                <w:highlight w:val="none"/>
                <w14:textFill>
                  <w14:solidFill>
                    <w14:schemeClr w14:val="tx1"/>
                  </w14:solidFill>
                </w14:textFill>
              </w:rPr>
              <w:t>期末计划累计投资金额[1]</w:t>
            </w:r>
          </w:p>
        </w:tc>
        <w:tc>
          <w:tcPr>
            <w:tcW w:w="428" w:type="pct"/>
            <w:tcBorders>
              <w:left w:val="dashSmallGap" w:color="auto" w:sz="4" w:space="0"/>
              <w:bottom w:val="dashSmallGap" w:color="auto" w:sz="4" w:space="0"/>
              <w:right w:val="dashSmallGap" w:color="auto" w:sz="4" w:space="0"/>
            </w:tcBorders>
          </w:tcPr>
          <w:p>
            <w:pPr>
              <w:widowControl/>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kern w:val="0"/>
                <w:sz w:val="18"/>
                <w:szCs w:val="18"/>
                <w:highlight w:val="none"/>
                <w14:textFill>
                  <w14:solidFill>
                    <w14:schemeClr w14:val="tx1"/>
                  </w14:solidFill>
                </w14:textFill>
              </w:rPr>
              <w:t>本年度实际投入金额</w:t>
            </w:r>
          </w:p>
        </w:tc>
        <w:tc>
          <w:tcPr>
            <w:tcW w:w="501" w:type="pct"/>
            <w:tcBorders>
              <w:left w:val="dashSmallGap" w:color="auto" w:sz="4" w:space="0"/>
              <w:bottom w:val="dashSmallGap" w:color="auto" w:sz="4" w:space="0"/>
              <w:right w:val="dashSmallGap" w:color="auto" w:sz="4" w:space="0"/>
            </w:tcBorders>
          </w:tcPr>
          <w:p>
            <w:pPr>
              <w:widowControl/>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kern w:val="0"/>
                <w:sz w:val="18"/>
                <w:szCs w:val="18"/>
                <w:highlight w:val="none"/>
                <w14:textFill>
                  <w14:solidFill>
                    <w14:schemeClr w14:val="tx1"/>
                  </w14:solidFill>
                </w14:textFill>
              </w:rPr>
              <w:t>实际累计投入金额[2]</w:t>
            </w:r>
          </w:p>
        </w:tc>
        <w:tc>
          <w:tcPr>
            <w:tcW w:w="561" w:type="pct"/>
            <w:tcBorders>
              <w:left w:val="dashSmallGap" w:color="auto" w:sz="4" w:space="0"/>
              <w:bottom w:val="dashSmallGap" w:color="auto" w:sz="4" w:space="0"/>
              <w:right w:val="dashSmallGap" w:color="auto" w:sz="4" w:space="0"/>
            </w:tcBorders>
          </w:tcPr>
          <w:p>
            <w:pPr>
              <w:widowControl/>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kern w:val="0"/>
                <w:sz w:val="18"/>
                <w:szCs w:val="18"/>
                <w:highlight w:val="none"/>
                <w14:textFill>
                  <w14:solidFill>
                    <w14:schemeClr w14:val="tx1"/>
                  </w14:solidFill>
                </w14:textFill>
              </w:rPr>
              <w:t>投资进度（%）[3]=[2</w:t>
            </w:r>
            <w:bookmarkStart w:id="3" w:name="_GoBack"/>
            <w:bookmarkEnd w:id="3"/>
            <w:r>
              <w:rPr>
                <w:rFonts w:hint="eastAsia" w:ascii="宋体" w:hAnsi="宋体" w:eastAsia="宋体" w:cs="宋体"/>
                <w:color w:val="000000" w:themeColor="text1"/>
                <w:kern w:val="0"/>
                <w:sz w:val="18"/>
                <w:szCs w:val="18"/>
                <w:highlight w:val="none"/>
                <w14:textFill>
                  <w14:solidFill>
                    <w14:schemeClr w14:val="tx1"/>
                  </w14:solidFill>
                </w14:textFill>
              </w:rPr>
              <w:t>]/[1]</w:t>
            </w:r>
          </w:p>
        </w:tc>
        <w:tc>
          <w:tcPr>
            <w:tcW w:w="545" w:type="pct"/>
            <w:tcBorders>
              <w:left w:val="dashSmallGap" w:color="auto" w:sz="4" w:space="0"/>
              <w:bottom w:val="dashSmallGap" w:color="auto" w:sz="4" w:space="0"/>
              <w:right w:val="dashSmallGap" w:color="auto" w:sz="4" w:space="0"/>
            </w:tcBorders>
          </w:tcPr>
          <w:p>
            <w:pPr>
              <w:widowControl/>
              <w:jc w:val="left"/>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kern w:val="0"/>
                <w:sz w:val="18"/>
                <w:szCs w:val="18"/>
                <w:highlight w:val="none"/>
                <w14:textFill>
                  <w14:solidFill>
                    <w14:schemeClr w14:val="tx1"/>
                  </w14:solidFill>
                </w14:textFill>
              </w:rPr>
              <w:t>项目达到预定可使用状态日期</w:t>
            </w:r>
          </w:p>
        </w:tc>
        <w:tc>
          <w:tcPr>
            <w:tcW w:w="361" w:type="pct"/>
            <w:tcBorders>
              <w:left w:val="dashSmallGap" w:color="auto" w:sz="4" w:space="0"/>
              <w:bottom w:val="dashSmallGap" w:color="auto" w:sz="4" w:space="0"/>
              <w:right w:val="dashSmallGap" w:color="auto" w:sz="4" w:space="0"/>
            </w:tcBorders>
          </w:tcPr>
          <w:p>
            <w:pPr>
              <w:widowControl/>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kern w:val="0"/>
                <w:sz w:val="18"/>
                <w:szCs w:val="18"/>
                <w:highlight w:val="none"/>
                <w14:textFill>
                  <w14:solidFill>
                    <w14:schemeClr w14:val="tx1"/>
                  </w14:solidFill>
                </w14:textFill>
              </w:rPr>
              <w:t>本年度实现的效益</w:t>
            </w:r>
          </w:p>
        </w:tc>
        <w:tc>
          <w:tcPr>
            <w:tcW w:w="380" w:type="pct"/>
            <w:tcBorders>
              <w:left w:val="dashSmallGap" w:color="auto" w:sz="4" w:space="0"/>
              <w:bottom w:val="dashSmallGap" w:color="auto" w:sz="4" w:space="0"/>
              <w:right w:val="dashSmallGap" w:color="auto" w:sz="4" w:space="0"/>
            </w:tcBorders>
          </w:tcPr>
          <w:p>
            <w:pPr>
              <w:widowControl/>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kern w:val="0"/>
                <w:sz w:val="18"/>
                <w:szCs w:val="18"/>
                <w:highlight w:val="none"/>
                <w14:textFill>
                  <w14:solidFill>
                    <w14:schemeClr w14:val="tx1"/>
                  </w14:solidFill>
                </w14:textFill>
              </w:rPr>
              <w:t>是否达到预计效益</w:t>
            </w:r>
          </w:p>
        </w:tc>
        <w:tc>
          <w:tcPr>
            <w:tcW w:w="507" w:type="pct"/>
            <w:tcBorders>
              <w:left w:val="dashSmallGap" w:color="auto" w:sz="4" w:space="0"/>
              <w:bottom w:val="dashSmallGap" w:color="auto" w:sz="4" w:space="0"/>
              <w:right w:val="nil"/>
            </w:tcBorders>
          </w:tcPr>
          <w:p>
            <w:pPr>
              <w:widowControl/>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kern w:val="0"/>
                <w:sz w:val="18"/>
                <w:szCs w:val="18"/>
                <w:highlight w:val="none"/>
                <w14:textFill>
                  <w14:solidFill>
                    <w14:schemeClr w14:val="tx1"/>
                  </w14:solidFill>
                </w14:textFill>
              </w:rPr>
              <w:t>变更后的项目可行性是否发生重大变化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54" w:type="pct"/>
            <w:tcBorders>
              <w:top w:val="dashSmallGap" w:color="auto" w:sz="4" w:space="0"/>
              <w:left w:val="nil"/>
              <w:bottom w:val="dashSmallGap" w:color="auto" w:sz="4" w:space="0"/>
              <w:right w:val="dashSmallGap" w:color="auto" w:sz="4" w:space="0"/>
            </w:tcBorders>
            <w:vAlign w:val="center"/>
          </w:tcPr>
          <w:p>
            <w:pPr>
              <w:widowControl/>
              <w:jc w:val="left"/>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原料药二期</w:t>
            </w:r>
          </w:p>
        </w:tc>
        <w:tc>
          <w:tcPr>
            <w:tcW w:w="603" w:type="pct"/>
            <w:tcBorders>
              <w:top w:val="dashSmallGap" w:color="auto" w:sz="4" w:space="0"/>
              <w:left w:val="dashSmallGap" w:color="auto" w:sz="4" w:space="0"/>
              <w:bottom w:val="dashSmallGap" w:color="auto" w:sz="4" w:space="0"/>
              <w:right w:val="dashSmallGap" w:color="auto" w:sz="4" w:space="0"/>
            </w:tcBorders>
            <w:vAlign w:val="center"/>
          </w:tcPr>
          <w:p>
            <w:pPr>
              <w:widowControl/>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药品自动化立体仓库项目[注</w:t>
            </w:r>
            <w:r>
              <w:rPr>
                <w:rFonts w:hint="eastAsia" w:ascii="宋体" w:hAnsi="宋体" w:eastAsia="宋体" w:cs="宋体"/>
                <w:color w:val="000000" w:themeColor="text1"/>
                <w:kern w:val="0"/>
                <w:sz w:val="18"/>
                <w:szCs w:val="18"/>
                <w:highlight w:val="none"/>
                <w14:textFill>
                  <w14:solidFill>
                    <w14:schemeClr w14:val="tx1"/>
                  </w14:solidFill>
                </w14:textFill>
              </w:rPr>
              <w:t>1</w:t>
            </w:r>
            <w:r>
              <w:rPr>
                <w:rFonts w:hint="eastAsia" w:ascii="宋体" w:hAnsi="宋体" w:eastAsia="宋体" w:cs="宋体"/>
                <w:color w:val="000000" w:themeColor="text1"/>
                <w:sz w:val="18"/>
                <w:szCs w:val="18"/>
                <w:highlight w:val="none"/>
                <w14:textFill>
                  <w14:solidFill>
                    <w14:schemeClr w14:val="tx1"/>
                  </w14:solidFill>
                </w14:textFill>
              </w:rPr>
              <w:t>]</w:t>
            </w:r>
          </w:p>
        </w:tc>
        <w:tc>
          <w:tcPr>
            <w:tcW w:w="354" w:type="pct"/>
            <w:tcBorders>
              <w:top w:val="dashSmallGap" w:color="auto" w:sz="4" w:space="0"/>
              <w:left w:val="dashSmallGap" w:color="auto" w:sz="4" w:space="0"/>
              <w:bottom w:val="dashSmallGap" w:color="auto" w:sz="4" w:space="0"/>
              <w:right w:val="dashSmallGap" w:color="auto" w:sz="4" w:space="0"/>
            </w:tcBorders>
            <w:vAlign w:val="center"/>
          </w:tcPr>
          <w:p>
            <w:pPr>
              <w:widowControl/>
              <w:jc w:val="right"/>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kern w:val="0"/>
                <w:sz w:val="18"/>
                <w:szCs w:val="18"/>
                <w:highlight w:val="none"/>
                <w14:textFill>
                  <w14:solidFill>
                    <w14:schemeClr w14:val="tx1"/>
                  </w14:solidFill>
                </w14:textFill>
              </w:rPr>
              <w:t>2,867.45</w:t>
            </w:r>
          </w:p>
        </w:tc>
        <w:tc>
          <w:tcPr>
            <w:tcW w:w="401" w:type="pct"/>
            <w:tcBorders>
              <w:top w:val="dashSmallGap" w:color="auto" w:sz="4" w:space="0"/>
              <w:left w:val="dashSmallGap" w:color="auto" w:sz="4" w:space="0"/>
              <w:bottom w:val="dashSmallGap" w:color="auto" w:sz="4" w:space="0"/>
              <w:right w:val="dashSmallGap" w:color="auto" w:sz="4" w:space="0"/>
            </w:tcBorders>
            <w:vAlign w:val="center"/>
          </w:tcPr>
          <w:p>
            <w:pPr>
              <w:widowControl/>
              <w:jc w:val="center"/>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kern w:val="0"/>
                <w:sz w:val="18"/>
                <w:szCs w:val="18"/>
                <w:highlight w:val="none"/>
                <w14:textFill>
                  <w14:solidFill>
                    <w14:schemeClr w14:val="tx1"/>
                  </w14:solidFill>
                </w14:textFill>
              </w:rPr>
              <w:t>不适用</w:t>
            </w:r>
          </w:p>
        </w:tc>
        <w:tc>
          <w:tcPr>
            <w:tcW w:w="428" w:type="pct"/>
            <w:tcBorders>
              <w:top w:val="dashSmallGap" w:color="auto" w:sz="4" w:space="0"/>
              <w:left w:val="dashSmallGap" w:color="auto" w:sz="4" w:space="0"/>
              <w:bottom w:val="dashSmallGap" w:color="auto" w:sz="4" w:space="0"/>
              <w:right w:val="dashSmallGap" w:color="auto" w:sz="4" w:space="0"/>
            </w:tcBorders>
            <w:vAlign w:val="center"/>
          </w:tcPr>
          <w:p>
            <w:pPr>
              <w:widowControl/>
              <w:ind w:firstLine="360" w:firstLineChars="200"/>
              <w:jc w:val="right"/>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kern w:val="0"/>
                <w:sz w:val="18"/>
                <w:szCs w:val="18"/>
                <w:highlight w:val="none"/>
                <w14:textFill>
                  <w14:solidFill>
                    <w14:schemeClr w14:val="tx1"/>
                  </w14:solidFill>
                </w14:textFill>
              </w:rPr>
              <w:t>0.00</w:t>
            </w:r>
          </w:p>
        </w:tc>
        <w:tc>
          <w:tcPr>
            <w:tcW w:w="501" w:type="pct"/>
            <w:tcBorders>
              <w:top w:val="dashSmallGap" w:color="auto" w:sz="4" w:space="0"/>
              <w:left w:val="dashSmallGap" w:color="auto" w:sz="4" w:space="0"/>
              <w:bottom w:val="dashSmallGap" w:color="auto" w:sz="4" w:space="0"/>
              <w:right w:val="dashSmallGap" w:color="auto" w:sz="4" w:space="0"/>
            </w:tcBorders>
            <w:vAlign w:val="center"/>
          </w:tcPr>
          <w:p>
            <w:pPr>
              <w:widowControl/>
              <w:ind w:firstLine="360" w:firstLineChars="200"/>
              <w:jc w:val="right"/>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kern w:val="0"/>
                <w:sz w:val="18"/>
                <w:szCs w:val="18"/>
                <w:highlight w:val="none"/>
                <w14:textFill>
                  <w14:solidFill>
                    <w14:schemeClr w14:val="tx1"/>
                  </w14:solidFill>
                </w14:textFill>
              </w:rPr>
              <w:t>2,627.71</w:t>
            </w:r>
          </w:p>
        </w:tc>
        <w:tc>
          <w:tcPr>
            <w:tcW w:w="561" w:type="pct"/>
            <w:tcBorders>
              <w:top w:val="dashSmallGap" w:color="auto" w:sz="4" w:space="0"/>
              <w:left w:val="dashSmallGap" w:color="auto" w:sz="4" w:space="0"/>
              <w:bottom w:val="dashSmallGap" w:color="auto" w:sz="4" w:space="0"/>
              <w:right w:val="dashSmallGap" w:color="auto" w:sz="4" w:space="0"/>
            </w:tcBorders>
            <w:vAlign w:val="center"/>
          </w:tcPr>
          <w:p>
            <w:pPr>
              <w:widowControl/>
              <w:jc w:val="center"/>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kern w:val="0"/>
                <w:sz w:val="18"/>
                <w:szCs w:val="18"/>
                <w:highlight w:val="none"/>
                <w14:textFill>
                  <w14:solidFill>
                    <w14:schemeClr w14:val="tx1"/>
                  </w14:solidFill>
                </w14:textFill>
              </w:rPr>
              <w:t>不适用</w:t>
            </w:r>
          </w:p>
        </w:tc>
        <w:tc>
          <w:tcPr>
            <w:tcW w:w="545" w:type="pct"/>
            <w:tcBorders>
              <w:top w:val="dashSmallGap" w:color="auto" w:sz="4" w:space="0"/>
              <w:left w:val="dashSmallGap" w:color="auto" w:sz="4" w:space="0"/>
              <w:bottom w:val="dashSmallGap" w:color="auto" w:sz="4" w:space="0"/>
              <w:right w:val="dashSmallGap" w:color="auto" w:sz="4" w:space="0"/>
            </w:tcBorders>
            <w:vAlign w:val="center"/>
          </w:tcPr>
          <w:p>
            <w:pPr>
              <w:widowControl/>
              <w:jc w:val="center"/>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kern w:val="0"/>
                <w:sz w:val="18"/>
                <w:szCs w:val="18"/>
                <w:highlight w:val="none"/>
                <w14:textFill>
                  <w14:solidFill>
                    <w14:schemeClr w14:val="tx1"/>
                  </w14:solidFill>
                </w14:textFill>
              </w:rPr>
              <w:t>2025.07</w:t>
            </w:r>
          </w:p>
        </w:tc>
        <w:tc>
          <w:tcPr>
            <w:tcW w:w="361" w:type="pct"/>
            <w:tcBorders>
              <w:top w:val="dashSmallGap" w:color="auto" w:sz="4" w:space="0"/>
              <w:left w:val="dashSmallGap" w:color="auto" w:sz="4" w:space="0"/>
              <w:bottom w:val="dashSmallGap" w:color="auto" w:sz="4" w:space="0"/>
              <w:right w:val="dashSmallGap" w:color="auto" w:sz="4" w:space="0"/>
            </w:tcBorders>
            <w:vAlign w:val="center"/>
          </w:tcPr>
          <w:p>
            <w:pPr>
              <w:widowControl/>
              <w:jc w:val="center"/>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kern w:val="0"/>
                <w:sz w:val="18"/>
                <w:szCs w:val="18"/>
                <w:highlight w:val="none"/>
                <w14:textFill>
                  <w14:solidFill>
                    <w14:schemeClr w14:val="tx1"/>
                  </w14:solidFill>
                </w14:textFill>
              </w:rPr>
              <w:t>不适用</w:t>
            </w:r>
          </w:p>
        </w:tc>
        <w:tc>
          <w:tcPr>
            <w:tcW w:w="380" w:type="pct"/>
            <w:tcBorders>
              <w:top w:val="dashSmallGap" w:color="auto" w:sz="4" w:space="0"/>
              <w:left w:val="dashSmallGap" w:color="auto" w:sz="4" w:space="0"/>
              <w:bottom w:val="dashSmallGap" w:color="auto" w:sz="4" w:space="0"/>
              <w:right w:val="dashSmallGap" w:color="auto" w:sz="4" w:space="0"/>
            </w:tcBorders>
            <w:vAlign w:val="center"/>
          </w:tcPr>
          <w:p>
            <w:pPr>
              <w:widowControl/>
              <w:ind w:right="180"/>
              <w:jc w:val="center"/>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kern w:val="0"/>
                <w:sz w:val="18"/>
                <w:szCs w:val="18"/>
                <w:highlight w:val="none"/>
                <w14:textFill>
                  <w14:solidFill>
                    <w14:schemeClr w14:val="tx1"/>
                  </w14:solidFill>
                </w14:textFill>
              </w:rPr>
              <w:t>不适用</w:t>
            </w:r>
          </w:p>
        </w:tc>
        <w:tc>
          <w:tcPr>
            <w:tcW w:w="507" w:type="pct"/>
            <w:tcBorders>
              <w:top w:val="dashSmallGap" w:color="auto" w:sz="4" w:space="0"/>
              <w:left w:val="dashSmallGap" w:color="auto" w:sz="4" w:space="0"/>
              <w:bottom w:val="dashSmallGap" w:color="auto" w:sz="4" w:space="0"/>
              <w:right w:val="nil"/>
            </w:tcBorders>
            <w:vAlign w:val="center"/>
          </w:tcPr>
          <w:p>
            <w:pPr>
              <w:widowControl/>
              <w:jc w:val="center"/>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54" w:type="pct"/>
            <w:tcBorders>
              <w:top w:val="dashSmallGap" w:color="auto" w:sz="4" w:space="0"/>
              <w:left w:val="nil"/>
              <w:bottom w:val="dashSmallGap" w:color="auto" w:sz="4" w:space="0"/>
              <w:right w:val="dashSmallGap" w:color="auto" w:sz="4" w:space="0"/>
            </w:tcBorders>
            <w:vAlign w:val="center"/>
          </w:tcPr>
          <w:p>
            <w:pPr>
              <w:widowControl/>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抗肿瘤</w:t>
            </w:r>
            <w:r>
              <w:rPr>
                <w:rFonts w:hint="eastAsia" w:ascii="宋体" w:hAnsi="宋体" w:eastAsia="宋体" w:cs="宋体"/>
                <w:color w:val="000000" w:themeColor="text1"/>
                <w:kern w:val="0"/>
                <w:sz w:val="18"/>
                <w:szCs w:val="18"/>
                <w:highlight w:val="none"/>
                <w14:textFill>
                  <w14:solidFill>
                    <w14:schemeClr w14:val="tx1"/>
                  </w14:solidFill>
                </w14:textFill>
              </w:rPr>
              <w:t>1</w:t>
            </w:r>
            <w:r>
              <w:rPr>
                <w:rFonts w:hint="eastAsia" w:ascii="宋体" w:hAnsi="宋体" w:eastAsia="宋体" w:cs="宋体"/>
                <w:color w:val="000000" w:themeColor="text1"/>
                <w:sz w:val="18"/>
                <w:szCs w:val="18"/>
                <w:highlight w:val="none"/>
                <w14:textFill>
                  <w14:solidFill>
                    <w14:schemeClr w14:val="tx1"/>
                  </w14:solidFill>
                </w14:textFill>
              </w:rPr>
              <w:t>类新药</w:t>
            </w:r>
            <w:r>
              <w:rPr>
                <w:rFonts w:hint="eastAsia" w:ascii="宋体" w:hAnsi="宋体" w:eastAsia="宋体" w:cs="宋体"/>
                <w:color w:val="000000" w:themeColor="text1"/>
                <w:kern w:val="0"/>
                <w:sz w:val="18"/>
                <w:szCs w:val="18"/>
                <w:highlight w:val="none"/>
                <w14:textFill>
                  <w14:solidFill>
                    <w14:schemeClr w14:val="tx1"/>
                  </w14:solidFill>
                </w14:textFill>
              </w:rPr>
              <w:t>YS001</w:t>
            </w:r>
            <w:r>
              <w:rPr>
                <w:rFonts w:hint="eastAsia" w:ascii="宋体" w:hAnsi="宋体" w:eastAsia="宋体" w:cs="宋体"/>
                <w:color w:val="000000" w:themeColor="text1"/>
                <w:sz w:val="18"/>
                <w:szCs w:val="18"/>
                <w:highlight w:val="none"/>
                <w14:textFill>
                  <w14:solidFill>
                    <w14:schemeClr w14:val="tx1"/>
                  </w14:solidFill>
                </w14:textFill>
              </w:rPr>
              <w:t>的研发项目</w:t>
            </w:r>
          </w:p>
        </w:tc>
        <w:tc>
          <w:tcPr>
            <w:tcW w:w="603" w:type="pct"/>
            <w:tcBorders>
              <w:top w:val="dashSmallGap" w:color="auto" w:sz="4" w:space="0"/>
              <w:left w:val="dashSmallGap" w:color="auto" w:sz="4" w:space="0"/>
              <w:bottom w:val="dashSmallGap" w:color="auto" w:sz="4" w:space="0"/>
              <w:right w:val="dashSmallGap" w:color="auto" w:sz="4" w:space="0"/>
            </w:tcBorders>
            <w:vAlign w:val="center"/>
          </w:tcPr>
          <w:p>
            <w:pPr>
              <w:widowControl/>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国家一类生物抗癌新药重组人血管内皮抑素注射液研发项目[注</w:t>
            </w:r>
            <w:r>
              <w:rPr>
                <w:rFonts w:hint="eastAsia" w:ascii="宋体" w:hAnsi="宋体" w:eastAsia="宋体" w:cs="宋体"/>
                <w:color w:val="000000" w:themeColor="text1"/>
                <w:kern w:val="0"/>
                <w:sz w:val="18"/>
                <w:szCs w:val="18"/>
                <w:highlight w:val="none"/>
                <w14:textFill>
                  <w14:solidFill>
                    <w14:schemeClr w14:val="tx1"/>
                  </w14:solidFill>
                </w14:textFill>
              </w:rPr>
              <w:t>2</w:t>
            </w:r>
            <w:r>
              <w:rPr>
                <w:rFonts w:hint="eastAsia" w:ascii="宋体" w:hAnsi="宋体" w:eastAsia="宋体" w:cs="宋体"/>
                <w:color w:val="000000" w:themeColor="text1"/>
                <w:sz w:val="18"/>
                <w:szCs w:val="18"/>
                <w:highlight w:val="none"/>
                <w14:textFill>
                  <w14:solidFill>
                    <w14:schemeClr w14:val="tx1"/>
                  </w14:solidFill>
                </w14:textFill>
              </w:rPr>
              <w:t>]</w:t>
            </w:r>
          </w:p>
        </w:tc>
        <w:tc>
          <w:tcPr>
            <w:tcW w:w="354" w:type="pct"/>
            <w:tcBorders>
              <w:top w:val="dashSmallGap" w:color="auto" w:sz="4" w:space="0"/>
              <w:left w:val="dashSmallGap" w:color="auto" w:sz="4" w:space="0"/>
              <w:bottom w:val="dashSmallGap" w:color="auto" w:sz="4" w:space="0"/>
              <w:right w:val="dashSmallGap" w:color="auto" w:sz="4" w:space="0"/>
            </w:tcBorders>
            <w:vAlign w:val="center"/>
          </w:tcPr>
          <w:p>
            <w:pPr>
              <w:widowControl/>
              <w:jc w:val="right"/>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kern w:val="0"/>
                <w:sz w:val="18"/>
                <w:szCs w:val="18"/>
                <w:highlight w:val="none"/>
                <w14:textFill>
                  <w14:solidFill>
                    <w14:schemeClr w14:val="tx1"/>
                  </w14:solidFill>
                </w14:textFill>
              </w:rPr>
              <w:t>3,500.00</w:t>
            </w:r>
          </w:p>
        </w:tc>
        <w:tc>
          <w:tcPr>
            <w:tcW w:w="401" w:type="pct"/>
            <w:tcBorders>
              <w:top w:val="dashSmallGap" w:color="auto" w:sz="4" w:space="0"/>
              <w:left w:val="dashSmallGap" w:color="auto" w:sz="4" w:space="0"/>
              <w:bottom w:val="dashSmallGap" w:color="auto" w:sz="4" w:space="0"/>
              <w:right w:val="dashSmallGap" w:color="auto" w:sz="4" w:space="0"/>
            </w:tcBorders>
            <w:vAlign w:val="center"/>
          </w:tcPr>
          <w:p>
            <w:pPr>
              <w:widowControl/>
              <w:ind w:right="360"/>
              <w:jc w:val="right"/>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kern w:val="0"/>
                <w:sz w:val="18"/>
                <w:szCs w:val="18"/>
                <w:highlight w:val="none"/>
                <w14:textFill>
                  <w14:solidFill>
                    <w14:schemeClr w14:val="tx1"/>
                  </w14:solidFill>
                </w14:textFill>
              </w:rPr>
              <w:t>不适用</w:t>
            </w:r>
          </w:p>
        </w:tc>
        <w:tc>
          <w:tcPr>
            <w:tcW w:w="428" w:type="pct"/>
            <w:tcBorders>
              <w:top w:val="dashSmallGap" w:color="auto" w:sz="4" w:space="0"/>
              <w:left w:val="dashSmallGap" w:color="auto" w:sz="4" w:space="0"/>
              <w:bottom w:val="dashSmallGap" w:color="auto" w:sz="4" w:space="0"/>
              <w:right w:val="dashSmallGap" w:color="auto" w:sz="4" w:space="0"/>
            </w:tcBorders>
            <w:vAlign w:val="center"/>
          </w:tcPr>
          <w:p>
            <w:pPr>
              <w:widowControl/>
              <w:ind w:firstLine="360" w:firstLineChars="200"/>
              <w:jc w:val="right"/>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kern w:val="0"/>
                <w:sz w:val="18"/>
                <w:szCs w:val="18"/>
                <w:highlight w:val="none"/>
                <w14:textFill>
                  <w14:solidFill>
                    <w14:schemeClr w14:val="tx1"/>
                  </w14:solidFill>
                </w14:textFill>
              </w:rPr>
              <w:t>187.11</w:t>
            </w:r>
          </w:p>
        </w:tc>
        <w:tc>
          <w:tcPr>
            <w:tcW w:w="501" w:type="pct"/>
            <w:tcBorders>
              <w:top w:val="dashSmallGap" w:color="auto" w:sz="4" w:space="0"/>
              <w:left w:val="dashSmallGap" w:color="auto" w:sz="4" w:space="0"/>
              <w:bottom w:val="dashSmallGap" w:color="auto" w:sz="4" w:space="0"/>
              <w:right w:val="dashSmallGap" w:color="auto" w:sz="4" w:space="0"/>
            </w:tcBorders>
            <w:vAlign w:val="center"/>
          </w:tcPr>
          <w:p>
            <w:pPr>
              <w:widowControl/>
              <w:ind w:firstLine="360" w:firstLineChars="200"/>
              <w:jc w:val="right"/>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kern w:val="0"/>
                <w:sz w:val="18"/>
                <w:szCs w:val="18"/>
                <w:highlight w:val="none"/>
                <w14:textFill>
                  <w14:solidFill>
                    <w14:schemeClr w14:val="tx1"/>
                  </w14:solidFill>
                </w14:textFill>
              </w:rPr>
              <w:t>2,540.87</w:t>
            </w:r>
          </w:p>
        </w:tc>
        <w:tc>
          <w:tcPr>
            <w:tcW w:w="561" w:type="pct"/>
            <w:tcBorders>
              <w:top w:val="dashSmallGap" w:color="auto" w:sz="4" w:space="0"/>
              <w:left w:val="dashSmallGap" w:color="auto" w:sz="4" w:space="0"/>
              <w:bottom w:val="dashSmallGap" w:color="auto" w:sz="4" w:space="0"/>
              <w:right w:val="dashSmallGap" w:color="auto" w:sz="4" w:space="0"/>
            </w:tcBorders>
            <w:vAlign w:val="center"/>
          </w:tcPr>
          <w:p>
            <w:pPr>
              <w:widowControl/>
              <w:jc w:val="center"/>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kern w:val="0"/>
                <w:sz w:val="18"/>
                <w:szCs w:val="18"/>
                <w:highlight w:val="none"/>
                <w14:textFill>
                  <w14:solidFill>
                    <w14:schemeClr w14:val="tx1"/>
                  </w14:solidFill>
                </w14:textFill>
              </w:rPr>
              <w:t>不适用</w:t>
            </w:r>
          </w:p>
        </w:tc>
        <w:tc>
          <w:tcPr>
            <w:tcW w:w="545" w:type="pct"/>
            <w:tcBorders>
              <w:top w:val="dashSmallGap" w:color="auto" w:sz="4" w:space="0"/>
              <w:left w:val="dashSmallGap" w:color="auto" w:sz="4" w:space="0"/>
              <w:bottom w:val="dashSmallGap" w:color="auto" w:sz="4" w:space="0"/>
              <w:right w:val="dashSmallGap" w:color="auto" w:sz="4" w:space="0"/>
            </w:tcBorders>
            <w:vAlign w:val="center"/>
          </w:tcPr>
          <w:p>
            <w:pPr>
              <w:widowControl/>
              <w:jc w:val="center"/>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kern w:val="0"/>
                <w:sz w:val="18"/>
                <w:szCs w:val="18"/>
                <w:highlight w:val="none"/>
                <w14:textFill>
                  <w14:solidFill>
                    <w14:schemeClr w14:val="tx1"/>
                  </w14:solidFill>
                </w14:textFill>
              </w:rPr>
              <w:t>2026.12</w:t>
            </w:r>
          </w:p>
        </w:tc>
        <w:tc>
          <w:tcPr>
            <w:tcW w:w="361" w:type="pct"/>
            <w:tcBorders>
              <w:top w:val="dashSmallGap" w:color="auto" w:sz="4" w:space="0"/>
              <w:left w:val="dashSmallGap" w:color="auto" w:sz="4" w:space="0"/>
              <w:bottom w:val="dashSmallGap" w:color="auto" w:sz="4" w:space="0"/>
              <w:right w:val="dashSmallGap" w:color="auto" w:sz="4" w:space="0"/>
            </w:tcBorders>
            <w:vAlign w:val="center"/>
          </w:tcPr>
          <w:p>
            <w:pPr>
              <w:widowControl/>
              <w:jc w:val="center"/>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kern w:val="0"/>
                <w:sz w:val="18"/>
                <w:szCs w:val="18"/>
                <w:highlight w:val="none"/>
                <w14:textFill>
                  <w14:solidFill>
                    <w14:schemeClr w14:val="tx1"/>
                  </w14:solidFill>
                </w14:textFill>
              </w:rPr>
              <w:t>不适用</w:t>
            </w:r>
          </w:p>
        </w:tc>
        <w:tc>
          <w:tcPr>
            <w:tcW w:w="380" w:type="pct"/>
            <w:tcBorders>
              <w:top w:val="dashSmallGap" w:color="auto" w:sz="4" w:space="0"/>
              <w:left w:val="dashSmallGap" w:color="auto" w:sz="4" w:space="0"/>
              <w:bottom w:val="dashSmallGap" w:color="auto" w:sz="4" w:space="0"/>
              <w:right w:val="dashSmallGap" w:color="auto" w:sz="4" w:space="0"/>
            </w:tcBorders>
            <w:vAlign w:val="center"/>
          </w:tcPr>
          <w:p>
            <w:pPr>
              <w:widowControl/>
              <w:ind w:right="180"/>
              <w:jc w:val="center"/>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kern w:val="0"/>
                <w:sz w:val="18"/>
                <w:szCs w:val="18"/>
                <w:highlight w:val="none"/>
                <w14:textFill>
                  <w14:solidFill>
                    <w14:schemeClr w14:val="tx1"/>
                  </w14:solidFill>
                </w14:textFill>
              </w:rPr>
              <w:t>不适用</w:t>
            </w:r>
          </w:p>
        </w:tc>
        <w:tc>
          <w:tcPr>
            <w:tcW w:w="507" w:type="pct"/>
            <w:tcBorders>
              <w:top w:val="dashSmallGap" w:color="auto" w:sz="4" w:space="0"/>
              <w:left w:val="dashSmallGap" w:color="auto" w:sz="4" w:space="0"/>
              <w:bottom w:val="dashSmallGap" w:color="auto" w:sz="4" w:space="0"/>
              <w:right w:val="nil"/>
            </w:tcBorders>
            <w:vAlign w:val="center"/>
          </w:tcPr>
          <w:p>
            <w:pPr>
              <w:widowControl/>
              <w:jc w:val="center"/>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54" w:type="pct"/>
            <w:tcBorders>
              <w:top w:val="dashSmallGap" w:color="auto" w:sz="4" w:space="0"/>
              <w:left w:val="nil"/>
              <w:bottom w:val="dashSmallGap" w:color="auto" w:sz="4" w:space="0"/>
              <w:right w:val="dashSmallGap" w:color="auto" w:sz="4" w:space="0"/>
            </w:tcBorders>
            <w:vAlign w:val="center"/>
          </w:tcPr>
          <w:p>
            <w:pPr>
              <w:widowControl/>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西洛他唑等上市化学仿制药的一致性评价项目</w:t>
            </w:r>
          </w:p>
        </w:tc>
        <w:tc>
          <w:tcPr>
            <w:tcW w:w="603" w:type="pct"/>
            <w:tcBorders>
              <w:top w:val="dashSmallGap" w:color="auto" w:sz="4" w:space="0"/>
              <w:left w:val="dashSmallGap" w:color="auto" w:sz="4" w:space="0"/>
              <w:bottom w:val="dashSmallGap" w:color="auto" w:sz="4" w:space="0"/>
              <w:right w:val="dashSmallGap" w:color="auto" w:sz="4" w:space="0"/>
            </w:tcBorders>
            <w:vAlign w:val="center"/>
          </w:tcPr>
          <w:p>
            <w:pPr>
              <w:widowControl/>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国家一类生物抗癌新药重组人血管内皮抑素注射液研发项目</w:t>
            </w:r>
          </w:p>
        </w:tc>
        <w:tc>
          <w:tcPr>
            <w:tcW w:w="354" w:type="pct"/>
            <w:tcBorders>
              <w:top w:val="dashSmallGap" w:color="auto" w:sz="4" w:space="0"/>
              <w:left w:val="dashSmallGap" w:color="auto" w:sz="4" w:space="0"/>
              <w:bottom w:val="dashSmallGap" w:color="auto" w:sz="4" w:space="0"/>
              <w:right w:val="dashSmallGap" w:color="auto" w:sz="4" w:space="0"/>
            </w:tcBorders>
            <w:vAlign w:val="center"/>
          </w:tcPr>
          <w:p>
            <w:pPr>
              <w:widowControl/>
              <w:jc w:val="right"/>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kern w:val="0"/>
                <w:sz w:val="18"/>
                <w:szCs w:val="18"/>
                <w:highlight w:val="none"/>
                <w14:textFill>
                  <w14:solidFill>
                    <w14:schemeClr w14:val="tx1"/>
                  </w14:solidFill>
                </w14:textFill>
              </w:rPr>
              <w:t>1,534.00</w:t>
            </w:r>
          </w:p>
        </w:tc>
        <w:tc>
          <w:tcPr>
            <w:tcW w:w="401" w:type="pct"/>
            <w:tcBorders>
              <w:top w:val="dashSmallGap" w:color="auto" w:sz="4" w:space="0"/>
              <w:left w:val="dashSmallGap" w:color="auto" w:sz="4" w:space="0"/>
              <w:bottom w:val="dashSmallGap" w:color="auto" w:sz="4" w:space="0"/>
              <w:right w:val="dashSmallGap" w:color="auto" w:sz="4" w:space="0"/>
            </w:tcBorders>
            <w:vAlign w:val="center"/>
          </w:tcPr>
          <w:p>
            <w:pPr>
              <w:widowControl/>
              <w:jc w:val="center"/>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kern w:val="0"/>
                <w:sz w:val="18"/>
                <w:szCs w:val="18"/>
                <w:highlight w:val="none"/>
                <w14:textFill>
                  <w14:solidFill>
                    <w14:schemeClr w14:val="tx1"/>
                  </w14:solidFill>
                </w14:textFill>
              </w:rPr>
              <w:t>不适用</w:t>
            </w:r>
          </w:p>
        </w:tc>
        <w:tc>
          <w:tcPr>
            <w:tcW w:w="428" w:type="pct"/>
            <w:tcBorders>
              <w:top w:val="dashSmallGap" w:color="auto" w:sz="4" w:space="0"/>
              <w:left w:val="dashSmallGap" w:color="auto" w:sz="4" w:space="0"/>
              <w:bottom w:val="dashSmallGap" w:color="auto" w:sz="4" w:space="0"/>
              <w:right w:val="dashSmallGap" w:color="auto" w:sz="4" w:space="0"/>
            </w:tcBorders>
            <w:vAlign w:val="center"/>
          </w:tcPr>
          <w:p>
            <w:pPr>
              <w:widowControl/>
              <w:ind w:firstLine="360" w:firstLineChars="200"/>
              <w:jc w:val="right"/>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kern w:val="0"/>
                <w:sz w:val="18"/>
                <w:szCs w:val="18"/>
                <w:highlight w:val="none"/>
                <w14:textFill>
                  <w14:solidFill>
                    <w14:schemeClr w14:val="tx1"/>
                  </w14:solidFill>
                </w14:textFill>
              </w:rPr>
              <w:t>148.53</w:t>
            </w:r>
          </w:p>
        </w:tc>
        <w:tc>
          <w:tcPr>
            <w:tcW w:w="501" w:type="pct"/>
            <w:tcBorders>
              <w:top w:val="dashSmallGap" w:color="auto" w:sz="4" w:space="0"/>
              <w:left w:val="dashSmallGap" w:color="auto" w:sz="4" w:space="0"/>
              <w:bottom w:val="dashSmallGap" w:color="auto" w:sz="4" w:space="0"/>
              <w:right w:val="dashSmallGap" w:color="auto" w:sz="4" w:space="0"/>
            </w:tcBorders>
            <w:vAlign w:val="center"/>
          </w:tcPr>
          <w:p>
            <w:pPr>
              <w:widowControl/>
              <w:ind w:firstLine="360" w:firstLineChars="200"/>
              <w:jc w:val="right"/>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kern w:val="0"/>
                <w:sz w:val="18"/>
                <w:szCs w:val="18"/>
                <w:highlight w:val="none"/>
                <w14:textFill>
                  <w14:solidFill>
                    <w14:schemeClr w14:val="tx1"/>
                  </w14:solidFill>
                </w14:textFill>
              </w:rPr>
              <w:t>929.89</w:t>
            </w:r>
          </w:p>
        </w:tc>
        <w:tc>
          <w:tcPr>
            <w:tcW w:w="561" w:type="pct"/>
            <w:tcBorders>
              <w:top w:val="dashSmallGap" w:color="auto" w:sz="4" w:space="0"/>
              <w:left w:val="dashSmallGap" w:color="auto" w:sz="4" w:space="0"/>
              <w:bottom w:val="dashSmallGap" w:color="auto" w:sz="4" w:space="0"/>
              <w:right w:val="dashSmallGap" w:color="auto" w:sz="4" w:space="0"/>
            </w:tcBorders>
            <w:vAlign w:val="center"/>
          </w:tcPr>
          <w:p>
            <w:pPr>
              <w:widowControl/>
              <w:jc w:val="center"/>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kern w:val="0"/>
                <w:sz w:val="18"/>
                <w:szCs w:val="18"/>
                <w:highlight w:val="none"/>
                <w14:textFill>
                  <w14:solidFill>
                    <w14:schemeClr w14:val="tx1"/>
                  </w14:solidFill>
                </w14:textFill>
              </w:rPr>
              <w:t>不适用</w:t>
            </w:r>
          </w:p>
        </w:tc>
        <w:tc>
          <w:tcPr>
            <w:tcW w:w="545" w:type="pct"/>
            <w:tcBorders>
              <w:top w:val="dashSmallGap" w:color="auto" w:sz="4" w:space="0"/>
              <w:left w:val="dashSmallGap" w:color="auto" w:sz="4" w:space="0"/>
              <w:bottom w:val="dashSmallGap" w:color="auto" w:sz="4" w:space="0"/>
              <w:right w:val="dashSmallGap" w:color="auto" w:sz="4" w:space="0"/>
            </w:tcBorders>
            <w:vAlign w:val="center"/>
          </w:tcPr>
          <w:p>
            <w:pPr>
              <w:widowControl/>
              <w:jc w:val="center"/>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kern w:val="0"/>
                <w:sz w:val="18"/>
                <w:szCs w:val="18"/>
                <w:highlight w:val="none"/>
                <w14:textFill>
                  <w14:solidFill>
                    <w14:schemeClr w14:val="tx1"/>
                  </w14:solidFill>
                </w14:textFill>
              </w:rPr>
              <w:t>2026.06</w:t>
            </w:r>
          </w:p>
        </w:tc>
        <w:tc>
          <w:tcPr>
            <w:tcW w:w="361" w:type="pct"/>
            <w:tcBorders>
              <w:top w:val="dashSmallGap" w:color="auto" w:sz="4" w:space="0"/>
              <w:left w:val="dashSmallGap" w:color="auto" w:sz="4" w:space="0"/>
              <w:bottom w:val="dashSmallGap" w:color="auto" w:sz="4" w:space="0"/>
              <w:right w:val="dashSmallGap" w:color="auto" w:sz="4" w:space="0"/>
            </w:tcBorders>
            <w:vAlign w:val="center"/>
          </w:tcPr>
          <w:p>
            <w:pPr>
              <w:widowControl/>
              <w:jc w:val="center"/>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kern w:val="0"/>
                <w:sz w:val="18"/>
                <w:szCs w:val="18"/>
                <w:highlight w:val="none"/>
                <w14:textFill>
                  <w14:solidFill>
                    <w14:schemeClr w14:val="tx1"/>
                  </w14:solidFill>
                </w14:textFill>
              </w:rPr>
              <w:t>不适用</w:t>
            </w:r>
          </w:p>
        </w:tc>
        <w:tc>
          <w:tcPr>
            <w:tcW w:w="380" w:type="pct"/>
            <w:tcBorders>
              <w:top w:val="dashSmallGap" w:color="auto" w:sz="4" w:space="0"/>
              <w:left w:val="dashSmallGap" w:color="auto" w:sz="4" w:space="0"/>
              <w:bottom w:val="dashSmallGap" w:color="auto" w:sz="4" w:space="0"/>
              <w:right w:val="dashSmallGap" w:color="auto" w:sz="4" w:space="0"/>
            </w:tcBorders>
            <w:vAlign w:val="center"/>
          </w:tcPr>
          <w:p>
            <w:pPr>
              <w:widowControl/>
              <w:jc w:val="center"/>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kern w:val="0"/>
                <w:sz w:val="18"/>
                <w:szCs w:val="18"/>
                <w:highlight w:val="none"/>
                <w14:textFill>
                  <w14:solidFill>
                    <w14:schemeClr w14:val="tx1"/>
                  </w14:solidFill>
                </w14:textFill>
              </w:rPr>
              <w:t>不适用</w:t>
            </w:r>
          </w:p>
        </w:tc>
        <w:tc>
          <w:tcPr>
            <w:tcW w:w="507" w:type="pct"/>
            <w:tcBorders>
              <w:top w:val="dashSmallGap" w:color="auto" w:sz="4" w:space="0"/>
              <w:left w:val="dashSmallGap" w:color="auto" w:sz="4" w:space="0"/>
              <w:bottom w:val="dashSmallGap" w:color="auto" w:sz="4" w:space="0"/>
              <w:right w:val="nil"/>
            </w:tcBorders>
            <w:vAlign w:val="center"/>
          </w:tcPr>
          <w:p>
            <w:pPr>
              <w:widowControl/>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是[注</w:t>
            </w:r>
            <w:r>
              <w:rPr>
                <w:rFonts w:hint="eastAsia" w:ascii="宋体" w:hAnsi="宋体" w:eastAsia="宋体" w:cs="宋体"/>
                <w:color w:val="000000" w:themeColor="text1"/>
                <w:kern w:val="0"/>
                <w:sz w:val="18"/>
                <w:szCs w:val="18"/>
                <w:highlight w:val="none"/>
                <w14:textFill>
                  <w14:solidFill>
                    <w14:schemeClr w14:val="tx1"/>
                  </w14:solidFill>
                </w14:textFill>
              </w:rPr>
              <w:t>3</w:t>
            </w:r>
            <w:r>
              <w:rPr>
                <w:rFonts w:hint="eastAsia" w:ascii="宋体" w:hAnsi="宋体" w:eastAsia="宋体" w:cs="宋体"/>
                <w:color w:val="000000" w:themeColor="text1"/>
                <w:sz w:val="18"/>
                <w:szCs w:val="18"/>
                <w:highlight w:val="none"/>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54" w:type="pct"/>
            <w:tcBorders>
              <w:top w:val="dashSmallGap" w:color="auto" w:sz="4" w:space="0"/>
              <w:left w:val="nil"/>
              <w:bottom w:val="dashSmallGap" w:color="auto" w:sz="4" w:space="0"/>
              <w:right w:val="dashSmallGap" w:color="auto" w:sz="4" w:space="0"/>
            </w:tcBorders>
            <w:vAlign w:val="center"/>
          </w:tcPr>
          <w:p>
            <w:pPr>
              <w:widowControl/>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利奈唑胺沃诺拉赞的仿制项目</w:t>
            </w:r>
          </w:p>
        </w:tc>
        <w:tc>
          <w:tcPr>
            <w:tcW w:w="603" w:type="pct"/>
            <w:tcBorders>
              <w:top w:val="dashSmallGap" w:color="auto" w:sz="4" w:space="0"/>
              <w:left w:val="dashSmallGap" w:color="auto" w:sz="4" w:space="0"/>
              <w:bottom w:val="dashSmallGap" w:color="auto" w:sz="4" w:space="0"/>
              <w:right w:val="dashSmallGap" w:color="auto" w:sz="4" w:space="0"/>
            </w:tcBorders>
            <w:vAlign w:val="center"/>
          </w:tcPr>
          <w:p>
            <w:pPr>
              <w:widowControl/>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国家一类生物抗癌新药重组人血管内皮抑素注射液研发项目</w:t>
            </w:r>
          </w:p>
        </w:tc>
        <w:tc>
          <w:tcPr>
            <w:tcW w:w="354" w:type="pct"/>
            <w:tcBorders>
              <w:top w:val="dashSmallGap" w:color="auto" w:sz="4" w:space="0"/>
              <w:left w:val="dashSmallGap" w:color="auto" w:sz="4" w:space="0"/>
              <w:bottom w:val="dashSmallGap" w:color="auto" w:sz="4" w:space="0"/>
              <w:right w:val="dashSmallGap" w:color="auto" w:sz="4" w:space="0"/>
            </w:tcBorders>
            <w:vAlign w:val="center"/>
          </w:tcPr>
          <w:p>
            <w:pPr>
              <w:widowControl/>
              <w:jc w:val="right"/>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kern w:val="0"/>
                <w:sz w:val="18"/>
                <w:szCs w:val="18"/>
                <w:highlight w:val="none"/>
                <w14:textFill>
                  <w14:solidFill>
                    <w14:schemeClr w14:val="tx1"/>
                  </w14:solidFill>
                </w14:textFill>
              </w:rPr>
              <w:t>1,480.37</w:t>
            </w:r>
          </w:p>
        </w:tc>
        <w:tc>
          <w:tcPr>
            <w:tcW w:w="401" w:type="pct"/>
            <w:tcBorders>
              <w:top w:val="dashSmallGap" w:color="auto" w:sz="4" w:space="0"/>
              <w:left w:val="dashSmallGap" w:color="auto" w:sz="4" w:space="0"/>
              <w:bottom w:val="dashSmallGap" w:color="auto" w:sz="4" w:space="0"/>
              <w:right w:val="dashSmallGap" w:color="auto" w:sz="4" w:space="0"/>
            </w:tcBorders>
            <w:vAlign w:val="center"/>
          </w:tcPr>
          <w:p>
            <w:pPr>
              <w:widowControl/>
              <w:jc w:val="center"/>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kern w:val="0"/>
                <w:sz w:val="18"/>
                <w:szCs w:val="18"/>
                <w:highlight w:val="none"/>
                <w14:textFill>
                  <w14:solidFill>
                    <w14:schemeClr w14:val="tx1"/>
                  </w14:solidFill>
                </w14:textFill>
              </w:rPr>
              <w:t>不适用</w:t>
            </w:r>
          </w:p>
        </w:tc>
        <w:tc>
          <w:tcPr>
            <w:tcW w:w="428" w:type="pct"/>
            <w:tcBorders>
              <w:top w:val="dashSmallGap" w:color="auto" w:sz="4" w:space="0"/>
              <w:left w:val="dashSmallGap" w:color="auto" w:sz="4" w:space="0"/>
              <w:bottom w:val="dashSmallGap" w:color="auto" w:sz="4" w:space="0"/>
              <w:right w:val="dashSmallGap" w:color="auto" w:sz="4" w:space="0"/>
            </w:tcBorders>
            <w:vAlign w:val="center"/>
          </w:tcPr>
          <w:p>
            <w:pPr>
              <w:widowControl/>
              <w:ind w:firstLine="360" w:firstLineChars="200"/>
              <w:jc w:val="right"/>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kern w:val="0"/>
                <w:sz w:val="18"/>
                <w:szCs w:val="18"/>
                <w:highlight w:val="none"/>
                <w14:textFill>
                  <w14:solidFill>
                    <w14:schemeClr w14:val="tx1"/>
                  </w14:solidFill>
                </w14:textFill>
              </w:rPr>
              <w:t>44.15</w:t>
            </w:r>
          </w:p>
        </w:tc>
        <w:tc>
          <w:tcPr>
            <w:tcW w:w="501" w:type="pct"/>
            <w:tcBorders>
              <w:top w:val="dashSmallGap" w:color="auto" w:sz="4" w:space="0"/>
              <w:left w:val="dashSmallGap" w:color="auto" w:sz="4" w:space="0"/>
              <w:bottom w:val="dashSmallGap" w:color="auto" w:sz="4" w:space="0"/>
              <w:right w:val="dashSmallGap" w:color="auto" w:sz="4" w:space="0"/>
            </w:tcBorders>
            <w:vAlign w:val="center"/>
          </w:tcPr>
          <w:p>
            <w:pPr>
              <w:widowControl/>
              <w:ind w:firstLine="360" w:firstLineChars="200"/>
              <w:jc w:val="right"/>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kern w:val="0"/>
                <w:sz w:val="18"/>
                <w:szCs w:val="18"/>
                <w:highlight w:val="none"/>
                <w14:textFill>
                  <w14:solidFill>
                    <w14:schemeClr w14:val="tx1"/>
                  </w14:solidFill>
                </w14:textFill>
              </w:rPr>
              <w:t>624.26</w:t>
            </w:r>
          </w:p>
        </w:tc>
        <w:tc>
          <w:tcPr>
            <w:tcW w:w="561" w:type="pct"/>
            <w:tcBorders>
              <w:top w:val="dashSmallGap" w:color="auto" w:sz="4" w:space="0"/>
              <w:left w:val="dashSmallGap" w:color="auto" w:sz="4" w:space="0"/>
              <w:bottom w:val="dashSmallGap" w:color="auto" w:sz="4" w:space="0"/>
              <w:right w:val="dashSmallGap" w:color="auto" w:sz="4" w:space="0"/>
            </w:tcBorders>
            <w:vAlign w:val="center"/>
          </w:tcPr>
          <w:p>
            <w:pPr>
              <w:widowControl/>
              <w:jc w:val="center"/>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kern w:val="0"/>
                <w:sz w:val="18"/>
                <w:szCs w:val="18"/>
                <w:highlight w:val="none"/>
                <w14:textFill>
                  <w14:solidFill>
                    <w14:schemeClr w14:val="tx1"/>
                  </w14:solidFill>
                </w14:textFill>
              </w:rPr>
              <w:t>不适用</w:t>
            </w:r>
          </w:p>
        </w:tc>
        <w:tc>
          <w:tcPr>
            <w:tcW w:w="545" w:type="pct"/>
            <w:tcBorders>
              <w:top w:val="dashSmallGap" w:color="auto" w:sz="4" w:space="0"/>
              <w:left w:val="dashSmallGap" w:color="auto" w:sz="4" w:space="0"/>
              <w:bottom w:val="dashSmallGap" w:color="auto" w:sz="4" w:space="0"/>
              <w:right w:val="dashSmallGap" w:color="auto" w:sz="4" w:space="0"/>
            </w:tcBorders>
            <w:vAlign w:val="center"/>
          </w:tcPr>
          <w:p>
            <w:pPr>
              <w:widowControl/>
              <w:jc w:val="center"/>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kern w:val="0"/>
                <w:sz w:val="18"/>
                <w:szCs w:val="18"/>
                <w:highlight w:val="none"/>
                <w14:textFill>
                  <w14:solidFill>
                    <w14:schemeClr w14:val="tx1"/>
                  </w14:solidFill>
                </w14:textFill>
              </w:rPr>
              <w:t>2024.07</w:t>
            </w:r>
          </w:p>
        </w:tc>
        <w:tc>
          <w:tcPr>
            <w:tcW w:w="361" w:type="pct"/>
            <w:tcBorders>
              <w:top w:val="dashSmallGap" w:color="auto" w:sz="4" w:space="0"/>
              <w:left w:val="dashSmallGap" w:color="auto" w:sz="4" w:space="0"/>
              <w:bottom w:val="dashSmallGap" w:color="auto" w:sz="4" w:space="0"/>
              <w:right w:val="dashSmallGap" w:color="auto" w:sz="4" w:space="0"/>
            </w:tcBorders>
            <w:vAlign w:val="center"/>
          </w:tcPr>
          <w:p>
            <w:pPr>
              <w:widowControl/>
              <w:jc w:val="center"/>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kern w:val="0"/>
                <w:sz w:val="18"/>
                <w:szCs w:val="18"/>
                <w:highlight w:val="none"/>
                <w14:textFill>
                  <w14:solidFill>
                    <w14:schemeClr w14:val="tx1"/>
                  </w14:solidFill>
                </w14:textFill>
              </w:rPr>
              <w:t>不适用</w:t>
            </w:r>
          </w:p>
        </w:tc>
        <w:tc>
          <w:tcPr>
            <w:tcW w:w="380" w:type="pct"/>
            <w:tcBorders>
              <w:top w:val="dashSmallGap" w:color="auto" w:sz="4" w:space="0"/>
              <w:left w:val="dashSmallGap" w:color="auto" w:sz="4" w:space="0"/>
              <w:bottom w:val="dashSmallGap" w:color="auto" w:sz="4" w:space="0"/>
              <w:right w:val="dashSmallGap" w:color="auto" w:sz="4" w:space="0"/>
            </w:tcBorders>
            <w:vAlign w:val="center"/>
          </w:tcPr>
          <w:p>
            <w:pPr>
              <w:widowControl/>
              <w:jc w:val="center"/>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kern w:val="0"/>
                <w:sz w:val="18"/>
                <w:szCs w:val="18"/>
                <w:highlight w:val="none"/>
                <w14:textFill>
                  <w14:solidFill>
                    <w14:schemeClr w14:val="tx1"/>
                  </w14:solidFill>
                </w14:textFill>
              </w:rPr>
              <w:t>不适用</w:t>
            </w:r>
          </w:p>
        </w:tc>
        <w:tc>
          <w:tcPr>
            <w:tcW w:w="507" w:type="pct"/>
            <w:tcBorders>
              <w:top w:val="dashSmallGap" w:color="auto" w:sz="4" w:space="0"/>
              <w:left w:val="dashSmallGap" w:color="auto" w:sz="4" w:space="0"/>
              <w:bottom w:val="dashSmallGap" w:color="auto" w:sz="4" w:space="0"/>
              <w:right w:val="nil"/>
            </w:tcBorders>
            <w:vAlign w:val="center"/>
          </w:tcPr>
          <w:p>
            <w:pPr>
              <w:widowControl/>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是[注</w:t>
            </w:r>
            <w:r>
              <w:rPr>
                <w:rFonts w:hint="eastAsia" w:ascii="宋体" w:hAnsi="宋体" w:eastAsia="宋体" w:cs="宋体"/>
                <w:color w:val="000000" w:themeColor="text1"/>
                <w:kern w:val="0"/>
                <w:sz w:val="18"/>
                <w:szCs w:val="18"/>
                <w:highlight w:val="none"/>
                <w14:textFill>
                  <w14:solidFill>
                    <w14:schemeClr w14:val="tx1"/>
                  </w14:solidFill>
                </w14:textFill>
              </w:rPr>
              <w:t>3</w:t>
            </w:r>
            <w:r>
              <w:rPr>
                <w:rFonts w:hint="eastAsia" w:ascii="宋体" w:hAnsi="宋体" w:eastAsia="宋体" w:cs="宋体"/>
                <w:color w:val="000000" w:themeColor="text1"/>
                <w:sz w:val="18"/>
                <w:szCs w:val="18"/>
                <w:highlight w:val="none"/>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54" w:type="pct"/>
            <w:tcBorders>
              <w:top w:val="dashSmallGap" w:color="auto" w:sz="4" w:space="0"/>
              <w:left w:val="nil"/>
              <w:bottom w:val="dashSmallGap" w:color="auto" w:sz="4" w:space="0"/>
              <w:right w:val="dashSmallGap" w:color="auto" w:sz="4" w:space="0"/>
            </w:tcBorders>
            <w:vAlign w:val="center"/>
          </w:tcPr>
          <w:p>
            <w:pPr>
              <w:widowControl/>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kern w:val="0"/>
                <w:sz w:val="18"/>
                <w:szCs w:val="18"/>
                <w:highlight w:val="none"/>
                <w14:textFill>
                  <w14:solidFill>
                    <w14:schemeClr w14:val="tx1"/>
                  </w14:solidFill>
                </w14:textFill>
              </w:rPr>
              <w:t>合  计</w:t>
            </w:r>
          </w:p>
        </w:tc>
        <w:tc>
          <w:tcPr>
            <w:tcW w:w="603" w:type="pct"/>
            <w:tcBorders>
              <w:top w:val="dashSmallGap" w:color="auto" w:sz="4" w:space="0"/>
              <w:left w:val="dashSmallGap" w:color="auto" w:sz="4" w:space="0"/>
              <w:bottom w:val="dashSmallGap" w:color="auto" w:sz="4" w:space="0"/>
              <w:right w:val="dashSmallGap" w:color="auto" w:sz="4" w:space="0"/>
            </w:tcBorders>
            <w:vAlign w:val="center"/>
          </w:tcPr>
          <w:p>
            <w:pPr>
              <w:widowControl/>
              <w:rPr>
                <w:rFonts w:hint="eastAsia" w:ascii="宋体" w:hAnsi="宋体" w:eastAsia="宋体" w:cs="宋体"/>
                <w:color w:val="000000" w:themeColor="text1"/>
                <w:kern w:val="0"/>
                <w:sz w:val="18"/>
                <w:szCs w:val="18"/>
                <w:highlight w:val="none"/>
                <w14:textFill>
                  <w14:solidFill>
                    <w14:schemeClr w14:val="tx1"/>
                  </w14:solidFill>
                </w14:textFill>
              </w:rPr>
            </w:pPr>
          </w:p>
        </w:tc>
        <w:tc>
          <w:tcPr>
            <w:tcW w:w="354" w:type="pct"/>
            <w:tcBorders>
              <w:top w:val="dashSmallGap" w:color="auto" w:sz="4" w:space="0"/>
              <w:left w:val="dashSmallGap" w:color="auto" w:sz="4" w:space="0"/>
              <w:bottom w:val="dashSmallGap" w:color="auto" w:sz="4" w:space="0"/>
              <w:right w:val="dashSmallGap" w:color="auto" w:sz="4" w:space="0"/>
            </w:tcBorders>
            <w:vAlign w:val="center"/>
          </w:tcPr>
          <w:p>
            <w:pPr>
              <w:widowControl/>
              <w:jc w:val="right"/>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kern w:val="0"/>
                <w:sz w:val="18"/>
                <w:szCs w:val="18"/>
                <w:highlight w:val="none"/>
                <w14:textFill>
                  <w14:solidFill>
                    <w14:schemeClr w14:val="tx1"/>
                  </w14:solidFill>
                </w14:textFill>
              </w:rPr>
              <w:t>9,381.82</w:t>
            </w:r>
          </w:p>
        </w:tc>
        <w:tc>
          <w:tcPr>
            <w:tcW w:w="401" w:type="pct"/>
            <w:tcBorders>
              <w:top w:val="dashSmallGap" w:color="auto" w:sz="4" w:space="0"/>
              <w:left w:val="dashSmallGap" w:color="auto" w:sz="4" w:space="0"/>
              <w:bottom w:val="dashSmallGap" w:color="auto" w:sz="4" w:space="0"/>
              <w:right w:val="dashSmallGap" w:color="auto" w:sz="4" w:space="0"/>
            </w:tcBorders>
            <w:vAlign w:val="center"/>
          </w:tcPr>
          <w:p>
            <w:pPr>
              <w:widowControl/>
              <w:ind w:firstLine="360" w:firstLineChars="200"/>
              <w:rPr>
                <w:rFonts w:hint="eastAsia" w:ascii="宋体" w:hAnsi="宋体" w:eastAsia="宋体" w:cs="宋体"/>
                <w:color w:val="000000" w:themeColor="text1"/>
                <w:kern w:val="0"/>
                <w:sz w:val="18"/>
                <w:szCs w:val="18"/>
                <w:highlight w:val="none"/>
                <w14:textFill>
                  <w14:solidFill>
                    <w14:schemeClr w14:val="tx1"/>
                  </w14:solidFill>
                </w14:textFill>
              </w:rPr>
            </w:pPr>
          </w:p>
        </w:tc>
        <w:tc>
          <w:tcPr>
            <w:tcW w:w="428" w:type="pct"/>
            <w:tcBorders>
              <w:top w:val="dashSmallGap" w:color="auto" w:sz="4" w:space="0"/>
              <w:left w:val="dashSmallGap" w:color="auto" w:sz="4" w:space="0"/>
              <w:bottom w:val="dashSmallGap" w:color="auto" w:sz="4" w:space="0"/>
              <w:right w:val="dashSmallGap" w:color="auto" w:sz="4" w:space="0"/>
            </w:tcBorders>
            <w:vAlign w:val="center"/>
          </w:tcPr>
          <w:p>
            <w:pPr>
              <w:widowControl/>
              <w:ind w:firstLine="360" w:firstLineChars="200"/>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kern w:val="0"/>
                <w:sz w:val="18"/>
                <w:szCs w:val="18"/>
                <w:highlight w:val="none"/>
                <w14:textFill>
                  <w14:solidFill>
                    <w14:schemeClr w14:val="tx1"/>
                  </w14:solidFill>
                </w14:textFill>
              </w:rPr>
              <w:t>379.79</w:t>
            </w:r>
          </w:p>
        </w:tc>
        <w:tc>
          <w:tcPr>
            <w:tcW w:w="501" w:type="pct"/>
            <w:tcBorders>
              <w:top w:val="dashSmallGap" w:color="auto" w:sz="4" w:space="0"/>
              <w:left w:val="dashSmallGap" w:color="auto" w:sz="4" w:space="0"/>
              <w:bottom w:val="dashSmallGap" w:color="auto" w:sz="4" w:space="0"/>
              <w:right w:val="dashSmallGap" w:color="auto" w:sz="4" w:space="0"/>
            </w:tcBorders>
            <w:vAlign w:val="center"/>
          </w:tcPr>
          <w:p>
            <w:pPr>
              <w:widowControl/>
              <w:ind w:firstLine="360" w:firstLineChars="200"/>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kern w:val="0"/>
                <w:sz w:val="18"/>
                <w:szCs w:val="18"/>
                <w:highlight w:val="none"/>
                <w14:textFill>
                  <w14:solidFill>
                    <w14:schemeClr w14:val="tx1"/>
                  </w14:solidFill>
                </w14:textFill>
              </w:rPr>
              <w:t>6,722.71</w:t>
            </w:r>
          </w:p>
        </w:tc>
        <w:tc>
          <w:tcPr>
            <w:tcW w:w="561" w:type="pct"/>
            <w:tcBorders>
              <w:top w:val="dashSmallGap" w:color="auto" w:sz="4" w:space="0"/>
              <w:left w:val="dashSmallGap" w:color="auto" w:sz="4" w:space="0"/>
              <w:bottom w:val="dashSmallGap" w:color="auto" w:sz="4" w:space="0"/>
              <w:right w:val="dashSmallGap" w:color="auto" w:sz="4" w:space="0"/>
            </w:tcBorders>
            <w:vAlign w:val="center"/>
          </w:tcPr>
          <w:p>
            <w:pPr>
              <w:widowControl/>
              <w:jc w:val="center"/>
              <w:rPr>
                <w:rFonts w:hint="eastAsia" w:ascii="宋体" w:hAnsi="宋体" w:eastAsia="宋体" w:cs="宋体"/>
                <w:color w:val="000000" w:themeColor="text1"/>
                <w:kern w:val="0"/>
                <w:sz w:val="18"/>
                <w:szCs w:val="18"/>
                <w:highlight w:val="none"/>
                <w14:textFill>
                  <w14:solidFill>
                    <w14:schemeClr w14:val="tx1"/>
                  </w14:solidFill>
                </w14:textFill>
              </w:rPr>
            </w:pPr>
          </w:p>
        </w:tc>
        <w:tc>
          <w:tcPr>
            <w:tcW w:w="545" w:type="pct"/>
            <w:tcBorders>
              <w:top w:val="dashSmallGap" w:color="auto" w:sz="4" w:space="0"/>
              <w:left w:val="dashSmallGap" w:color="auto" w:sz="4" w:space="0"/>
              <w:bottom w:val="dashSmallGap" w:color="auto" w:sz="4" w:space="0"/>
              <w:right w:val="dashSmallGap" w:color="auto" w:sz="4" w:space="0"/>
            </w:tcBorders>
          </w:tcPr>
          <w:p>
            <w:pPr>
              <w:widowControl/>
              <w:jc w:val="center"/>
              <w:rPr>
                <w:rFonts w:hint="eastAsia" w:ascii="宋体" w:hAnsi="宋体" w:eastAsia="宋体" w:cs="宋体"/>
                <w:color w:val="000000" w:themeColor="text1"/>
                <w:kern w:val="0"/>
                <w:sz w:val="18"/>
                <w:szCs w:val="18"/>
                <w:highlight w:val="none"/>
                <w14:textFill>
                  <w14:solidFill>
                    <w14:schemeClr w14:val="tx1"/>
                  </w14:solidFill>
                </w14:textFill>
              </w:rPr>
            </w:pPr>
          </w:p>
        </w:tc>
        <w:tc>
          <w:tcPr>
            <w:tcW w:w="361" w:type="pct"/>
            <w:tcBorders>
              <w:top w:val="dashSmallGap" w:color="auto" w:sz="4" w:space="0"/>
              <w:left w:val="dashSmallGap" w:color="auto" w:sz="4" w:space="0"/>
              <w:bottom w:val="dashSmallGap" w:color="auto" w:sz="4" w:space="0"/>
              <w:right w:val="dashSmallGap" w:color="auto" w:sz="4" w:space="0"/>
            </w:tcBorders>
          </w:tcPr>
          <w:p>
            <w:pPr>
              <w:widowControl/>
              <w:jc w:val="center"/>
              <w:rPr>
                <w:rFonts w:hint="eastAsia" w:ascii="宋体" w:hAnsi="宋体" w:eastAsia="宋体" w:cs="宋体"/>
                <w:color w:val="000000" w:themeColor="text1"/>
                <w:kern w:val="0"/>
                <w:sz w:val="18"/>
                <w:szCs w:val="18"/>
                <w:highlight w:val="none"/>
                <w14:textFill>
                  <w14:solidFill>
                    <w14:schemeClr w14:val="tx1"/>
                  </w14:solidFill>
                </w14:textFill>
              </w:rPr>
            </w:pPr>
          </w:p>
        </w:tc>
        <w:tc>
          <w:tcPr>
            <w:tcW w:w="380" w:type="pct"/>
            <w:tcBorders>
              <w:top w:val="dashSmallGap" w:color="auto" w:sz="4" w:space="0"/>
              <w:left w:val="dashSmallGap" w:color="auto" w:sz="4" w:space="0"/>
              <w:bottom w:val="dashSmallGap" w:color="auto" w:sz="4" w:space="0"/>
              <w:right w:val="dashSmallGap" w:color="auto" w:sz="4" w:space="0"/>
            </w:tcBorders>
          </w:tcPr>
          <w:p>
            <w:pPr>
              <w:widowControl/>
              <w:jc w:val="center"/>
              <w:rPr>
                <w:rFonts w:hint="eastAsia" w:ascii="宋体" w:hAnsi="宋体" w:eastAsia="宋体" w:cs="宋体"/>
                <w:color w:val="000000" w:themeColor="text1"/>
                <w:kern w:val="0"/>
                <w:sz w:val="18"/>
                <w:szCs w:val="18"/>
                <w:highlight w:val="none"/>
                <w14:textFill>
                  <w14:solidFill>
                    <w14:schemeClr w14:val="tx1"/>
                  </w14:solidFill>
                </w14:textFill>
              </w:rPr>
            </w:pPr>
          </w:p>
        </w:tc>
        <w:tc>
          <w:tcPr>
            <w:tcW w:w="507" w:type="pct"/>
            <w:tcBorders>
              <w:top w:val="dashSmallGap" w:color="auto" w:sz="4" w:space="0"/>
              <w:left w:val="dashSmallGap" w:color="auto" w:sz="4" w:space="0"/>
              <w:bottom w:val="dashSmallGap" w:color="auto" w:sz="4" w:space="0"/>
              <w:right w:val="nil"/>
            </w:tcBorders>
          </w:tcPr>
          <w:p>
            <w:pPr>
              <w:widowControl/>
              <w:jc w:val="center"/>
              <w:rPr>
                <w:rFonts w:hint="eastAsia" w:ascii="宋体" w:hAnsi="宋体" w:eastAsia="宋体" w:cs="宋体"/>
                <w:color w:val="000000" w:themeColor="text1"/>
                <w:kern w:val="0"/>
                <w:sz w:val="18"/>
                <w:szCs w:val="1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1312" w:type="pct"/>
            <w:gridSpan w:val="3"/>
            <w:tcBorders>
              <w:top w:val="dashSmallGap" w:color="auto" w:sz="4" w:space="0"/>
              <w:left w:val="nil"/>
              <w:bottom w:val="dashSmallGap" w:color="auto" w:sz="4" w:space="0"/>
              <w:right w:val="dashSmallGap" w:color="auto" w:sz="4" w:space="0"/>
            </w:tcBorders>
            <w:vAlign w:val="center"/>
          </w:tcPr>
          <w:p>
            <w:pPr>
              <w:widowControl/>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kern w:val="0"/>
                <w:sz w:val="18"/>
                <w:szCs w:val="18"/>
                <w:highlight w:val="none"/>
                <w14:textFill>
                  <w14:solidFill>
                    <w14:schemeClr w14:val="tx1"/>
                  </w14:solidFill>
                </w14:textFill>
              </w:rPr>
              <w:t>变更原因、决策程序及信息披露情况说明（分具体募投项目）</w:t>
            </w:r>
          </w:p>
        </w:tc>
        <w:tc>
          <w:tcPr>
            <w:tcW w:w="3687" w:type="pct"/>
            <w:gridSpan w:val="8"/>
            <w:tcBorders>
              <w:top w:val="dashSmallGap" w:color="auto" w:sz="4" w:space="0"/>
              <w:left w:val="dashSmallGap" w:color="auto" w:sz="4" w:space="0"/>
              <w:bottom w:val="dashSmallGap" w:color="auto" w:sz="4" w:space="0"/>
              <w:right w:val="nil"/>
            </w:tcBorders>
            <w:vAlign w:val="center"/>
          </w:tcPr>
          <w:p>
            <w:pPr>
              <w:widowControl/>
              <w:ind w:firstLine="360" w:firstLineChars="200"/>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kern w:val="0"/>
                <w:sz w:val="18"/>
                <w:szCs w:val="18"/>
                <w:highlight w:val="none"/>
                <w14:textFill>
                  <w14:solidFill>
                    <w14:schemeClr w14:val="tx1"/>
                  </w14:solidFill>
                </w14:textFill>
              </w:rPr>
              <w:t>注1：药品自动化立体仓库项目</w:t>
            </w:r>
          </w:p>
          <w:p>
            <w:pPr>
              <w:widowControl/>
              <w:ind w:firstLine="360" w:firstLineChars="200"/>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kern w:val="0"/>
                <w:sz w:val="18"/>
                <w:szCs w:val="18"/>
                <w:highlight w:val="none"/>
                <w14:textFill>
                  <w14:solidFill>
                    <w14:schemeClr w14:val="tx1"/>
                  </w14:solidFill>
                </w14:textFill>
              </w:rPr>
              <w:t>公司在《江苏吴中实业股份有限公司三年发展战略规划（2017-2019）》中对医药集团未来的商业配送整体规模进行了重新定位，明确了未来医药集团的商业配送业务将适度发展，首先满足公司自有工业产品的分销和配送，其次根据市场发展情况适度开展以苏州大市范围为主导市场的商业配送业务。未来三年公司规划的商业配送年销售收入不超过8亿元。鉴于此，目前已竣工并投入使用的仓库一期项目已可满足设定的规模需求，公司不再进行二期投入。根据公司三年规划及新品开发要求，公司现有原料药基地日益不能满足公司原料药业务未来发展的需求，同时随着环保压力的日益增加，公司需要对原料药的生产能力进行提升，并新增溶媒回收车间，不断满足市场和环保需求，提高企业效益。经公司第八届董事会第十一次会议及2016年股东大会决议审议通过，公司将原“药品自动化立体仓库项目”变更为“江苏吴中医药集团有限公司苏州制药厂原料药二期项目”（具体见公司于2017年4月28日及5月19日在《中国证券报》、《上海证券报》及上海证券交易所网站上披露的相关公告）。</w:t>
            </w:r>
          </w:p>
          <w:p>
            <w:pPr>
              <w:widowControl/>
              <w:ind w:firstLine="360" w:firstLineChars="200"/>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kern w:val="0"/>
                <w:sz w:val="18"/>
                <w:szCs w:val="18"/>
                <w:highlight w:val="none"/>
                <w14:textFill>
                  <w14:solidFill>
                    <w14:schemeClr w14:val="tx1"/>
                  </w14:solidFill>
                </w14:textFill>
              </w:rPr>
              <w:t>注2：国家一类生物抗癌新药重组人血管内皮抑素注射液研发项目</w:t>
            </w:r>
          </w:p>
          <w:p>
            <w:pPr>
              <w:widowControl/>
              <w:ind w:firstLine="360" w:firstLineChars="200"/>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kern w:val="0"/>
                <w:sz w:val="18"/>
                <w:szCs w:val="18"/>
                <w:highlight w:val="none"/>
                <w14:textFill>
                  <w14:solidFill>
                    <w14:schemeClr w14:val="tx1"/>
                  </w14:solidFill>
                </w14:textFill>
              </w:rPr>
              <w:t>医药集团于2019年3月接到了国家药监局药品审评中心（以下简称“审评中心”）的技术审评部门发出的重组人血管内皮抑素注射液（CXSS1800005-1）依据现有数据技术审评不予通过与申请人沟通交流报告的相关通知；公司于2019年7月5日收到医药集团通知，经医药集团与审评中心充分沟通，为了后续拟开展该药品的肺鳞癌临床研究工作（在原三期临床批件基础上），同时结合国家最新有关药品的审评、审批政策，医药集团向审评中心提出了药品注册撤回申请，经审评中心申请人之窗系统查询知悉，当前品种技术审评建议结论为：终止审批程序；2019年7月19日，公司收到了医药集团通知，江苏吴中医药集团有限公司下属分支机构苏州中凯生物制药厂收到了国家药品监督管理局下发的《审批意见通知件》，审批意见为根据申请人的撤回申请，同意本品注册申请撤回，终止注册程序。</w:t>
            </w:r>
          </w:p>
          <w:p>
            <w:pPr>
              <w:widowControl/>
              <w:ind w:firstLine="360" w:firstLineChars="200"/>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kern w:val="0"/>
                <w:sz w:val="18"/>
                <w:szCs w:val="18"/>
                <w:highlight w:val="none"/>
                <w14:textFill>
                  <w14:solidFill>
                    <w14:schemeClr w14:val="tx1"/>
                  </w14:solidFill>
                </w14:textFill>
              </w:rPr>
              <w:t>综合上述因素，为降低投资风险，提高募集资金使用效率，充分保证公司及全体股东的利益，公司拟对原募投项目“国家一类生物抗癌新药重组人血管内皮抑素注射液研发项目”进行变更。</w:t>
            </w:r>
          </w:p>
          <w:p>
            <w:pPr>
              <w:widowControl/>
              <w:ind w:firstLine="360" w:firstLineChars="200"/>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kern w:val="0"/>
                <w:sz w:val="18"/>
                <w:szCs w:val="18"/>
                <w:highlight w:val="none"/>
                <w14:textFill>
                  <w14:solidFill>
                    <w14:schemeClr w14:val="tx1"/>
                  </w14:solidFill>
                </w14:textFill>
              </w:rPr>
              <w:t>根据公司下属江苏吴中医药集团有限公司经营发展和实际生产需要，经公司第九届董事会第六次会议、公司第九届监事会第六次会议及2019年第五次临时股东大会审议通过《江苏吴中实业股份有限公司关于变更部分募集资金投资项目的议案》，公司拟将原非公开发行的募集资金投资项目“国家一类生物抗癌新药重组人血管内皮抑素注射液研发项目”中部分未使用资金约12,055万元（占募集资金总额23.46%）进行变更，变更后的募集资金投向为抗肿瘤1类新药YS001的研发、西洛他唑等上市化学仿制药的一致性评价、利奈唑胺与沃诺拉赞的仿制。（具体见公司于2019年8月23日、2019年9月11日在《中国证券报》《上海证券报》及上海证券交易所网站上披露的相关公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1312" w:type="pct"/>
            <w:gridSpan w:val="3"/>
            <w:tcBorders>
              <w:top w:val="dashSmallGap" w:color="auto" w:sz="4" w:space="0"/>
              <w:left w:val="nil"/>
              <w:bottom w:val="dashSmallGap" w:color="auto" w:sz="4" w:space="0"/>
              <w:right w:val="dashSmallGap" w:color="auto" w:sz="4" w:space="0"/>
            </w:tcBorders>
            <w:vAlign w:val="center"/>
          </w:tcPr>
          <w:p>
            <w:pPr>
              <w:widowControl/>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kern w:val="0"/>
                <w:sz w:val="18"/>
                <w:szCs w:val="18"/>
                <w:highlight w:val="none"/>
                <w14:textFill>
                  <w14:solidFill>
                    <w14:schemeClr w14:val="tx1"/>
                  </w14:solidFill>
                </w14:textFill>
              </w:rPr>
              <w:t>未达到计划进度的情况和原因（分具体募投项目）</w:t>
            </w:r>
          </w:p>
        </w:tc>
        <w:tc>
          <w:tcPr>
            <w:tcW w:w="3687" w:type="pct"/>
            <w:gridSpan w:val="8"/>
            <w:tcBorders>
              <w:top w:val="dashSmallGap" w:color="auto" w:sz="4" w:space="0"/>
              <w:left w:val="dashSmallGap" w:color="auto" w:sz="4" w:space="0"/>
              <w:bottom w:val="dashSmallGap" w:color="auto" w:sz="4" w:space="0"/>
              <w:right w:val="nil"/>
            </w:tcBorders>
            <w:vAlign w:val="center"/>
          </w:tcPr>
          <w:p>
            <w:pPr>
              <w:widowControl/>
              <w:ind w:firstLine="360" w:firstLineChars="200"/>
              <w:jc w:val="center"/>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kern w:val="0"/>
                <w:sz w:val="18"/>
                <w:szCs w:val="18"/>
                <w:highlight w:val="none"/>
                <w14:textFill>
                  <w14:solidFill>
                    <w14:schemeClr w14:val="tx1"/>
                  </w14:solidFill>
                </w14:textFill>
              </w:rPr>
              <w:t>　不适用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1312" w:type="pct"/>
            <w:gridSpan w:val="3"/>
            <w:tcBorders>
              <w:top w:val="dashSmallGap" w:color="auto" w:sz="4" w:space="0"/>
              <w:left w:val="nil"/>
              <w:right w:val="dashSmallGap" w:color="auto" w:sz="4" w:space="0"/>
            </w:tcBorders>
            <w:vAlign w:val="center"/>
          </w:tcPr>
          <w:p>
            <w:pPr>
              <w:widowControl/>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kern w:val="0"/>
                <w:sz w:val="18"/>
                <w:szCs w:val="18"/>
                <w:highlight w:val="none"/>
                <w14:textFill>
                  <w14:solidFill>
                    <w14:schemeClr w14:val="tx1"/>
                  </w14:solidFill>
                </w14:textFill>
              </w:rPr>
              <w:t>变更后的项目可行性发生重大变化的情况说明</w:t>
            </w:r>
          </w:p>
        </w:tc>
        <w:tc>
          <w:tcPr>
            <w:tcW w:w="3687" w:type="pct"/>
            <w:gridSpan w:val="8"/>
            <w:tcBorders>
              <w:top w:val="dashSmallGap" w:color="auto" w:sz="4" w:space="0"/>
              <w:left w:val="dashSmallGap" w:color="auto" w:sz="4" w:space="0"/>
              <w:right w:val="nil"/>
            </w:tcBorders>
            <w:vAlign w:val="center"/>
          </w:tcPr>
          <w:p>
            <w:pPr>
              <w:widowControl/>
              <w:ind w:firstLine="360" w:firstLineChars="200"/>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kern w:val="0"/>
                <w:sz w:val="18"/>
                <w:szCs w:val="18"/>
                <w:highlight w:val="none"/>
                <w14:textFill>
                  <w14:solidFill>
                    <w14:schemeClr w14:val="tx1"/>
                  </w14:solidFill>
                </w14:textFill>
              </w:rPr>
              <w:t>注3：“西洛他唑等上市化学仿制药的一致性评价项目”中的西洛他唑片、利奈唑胺葡萄糖注射液、注射用艾司奥美拉唑钠 3 个子研发项目，以及“利奈唑胺与沃诺拉赞的仿制项目”中的利奈唑胺片剂的仿制、沃诺拉赞片剂的仿制 2 个子研发项目发生变化。</w:t>
            </w:r>
          </w:p>
          <w:p>
            <w:pPr>
              <w:widowControl/>
              <w:ind w:firstLine="360" w:firstLineChars="200"/>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kern w:val="0"/>
                <w:sz w:val="18"/>
                <w:szCs w:val="18"/>
                <w:highlight w:val="none"/>
                <w14:textFill>
                  <w14:solidFill>
                    <w14:schemeClr w14:val="tx1"/>
                  </w14:solidFill>
                </w14:textFill>
              </w:rPr>
              <w:t>上述研发项目主要是受政策法规、市场环境及项目进度的影响，其中拟变更西洛他唑片一致性评价是由于国家药监局（NMPA）公布的参比制剂已退市，公司无法获取参比制剂；拟变更利奈唑胺葡萄糖注射液一致性评价、注射用艾司奥美拉唑钠一致性评价、利奈唑胺片剂的仿制、沃诺拉赞片剂的仿制主要是由于上述产品同质化竞争严重，进入集中采购的可能性也比较大，而公司的研发进度又相对落后。因此，为提高募集资金使用效率、降低公司财务费用、避免增加投资损失，结合公司实际生产经营需要，本着维护全体股东利益的原则，经审慎研究论证后，公司决定终止上述研发项目，并将剩余的募集资金用于永久补充流动资金。剩余的募集资金5,602万元及利息收入永久补充流动资金， 用于公司日常经营活动，本次变更用途的募集资金金额占公司募集资金净额的11.15%。（具体公告详见公司于2021年4月28日在《中国证券报》《上海证券报》及上海证券交易所网站上披露的相关公告。）</w:t>
            </w:r>
          </w:p>
          <w:p>
            <w:pPr>
              <w:widowControl/>
              <w:ind w:firstLine="360" w:firstLineChars="200"/>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kern w:val="0"/>
                <w:sz w:val="18"/>
                <w:szCs w:val="18"/>
                <w:highlight w:val="none"/>
                <w14:textFill>
                  <w14:solidFill>
                    <w14:schemeClr w14:val="tx1"/>
                  </w14:solidFill>
                </w14:textFill>
              </w:rPr>
              <w:t>2021年5月24日，公司从募集资金账户转入一般账户5,602.00万元，其中“西洛他唑等上市化学仿制药的一致性评价项目”中的西洛他唑片、利奈唑胺葡萄糖注射液、注射用艾司奥美拉唑钠3个子研发项目涉及金额为2,771.00万元，“利奈唑胺与沃诺拉赞的仿制项目”中的利奈唑胺片剂的仿制、沃诺拉赞片剂的仿制2个子研发项目涉及金额为2,831.00万元。</w:t>
            </w:r>
          </w:p>
          <w:p>
            <w:pPr>
              <w:widowControl/>
              <w:ind w:firstLine="360" w:firstLineChars="200"/>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kern w:val="0"/>
                <w:sz w:val="18"/>
                <w:szCs w:val="18"/>
                <w:highlight w:val="none"/>
                <w14:textFill>
                  <w14:solidFill>
                    <w14:schemeClr w14:val="tx1"/>
                  </w14:solidFill>
                </w14:textFill>
              </w:rPr>
              <w:t>国家药品监督管理局于2023年10月17日发布了2023年第132号《关于加强药品上市许可持有人委托生产监督管理工作的公告》（以下简称“132号文”），对药品上市许可持有人委托生产药品的许可管理、质量管理和监督管理等做了进一步的要求，同时于10月24日发布《药品上市许可持有人委托生产现场检查指南》【药监综药管（2023）81号】，对公告内容进一步予以细化。按照文件要求，利奈唑胺与沃诺拉赞的仿制项目需要申请上市前GMP符合性检查。我公司于2023年12月接受了药品上市许可持有人GMP符合性检查，已完成整改，现处于待审核评定阶段，因此利奈唑胺与沃诺拉赞的仿制项目尚未达到预定可使用状态。</w:t>
            </w:r>
          </w:p>
        </w:tc>
      </w:tr>
    </w:tbl>
    <w:p>
      <w:pPr>
        <w:widowControl/>
        <w:spacing w:line="440" w:lineRule="exact"/>
        <w:ind w:firstLine="420" w:firstLineChars="200"/>
        <w:jc w:val="left"/>
        <w:rPr>
          <w:rFonts w:ascii="Arial Narrow" w:hAnsi="Arial Narrow" w:cs="宋体"/>
          <w:color w:val="000000" w:themeColor="text1"/>
          <w:kern w:val="0"/>
          <w:szCs w:val="21"/>
          <w14:textFill>
            <w14:solidFill>
              <w14:schemeClr w14:val="tx1"/>
            </w14:solidFill>
          </w14:textFill>
        </w:rPr>
      </w:pPr>
      <w:r>
        <w:rPr>
          <w:rFonts w:ascii="Arial Narrow" w:hAnsi="Arial Narrow" w:cs="宋体"/>
          <w:color w:val="000000" w:themeColor="text1"/>
          <w:kern w:val="0"/>
          <w:szCs w:val="21"/>
          <w14:textFill>
            <w14:solidFill>
              <w14:schemeClr w14:val="tx1"/>
            </w14:solidFill>
          </w14:textFill>
        </w:rPr>
        <w:t>注：“本年度实现的效益”的计算口径、计算方法应与承诺效益的计算口径、计算方法一致。</w:t>
      </w:r>
    </w:p>
    <w:sectPr>
      <w:pgSz w:w="16838" w:h="11906" w:orient="landscape"/>
      <w:pgMar w:top="1800" w:right="1440" w:bottom="1800" w:left="144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ˎ̥">
    <w:altName w:val="Times New Roman"/>
    <w:panose1 w:val="00000000000000000000"/>
    <w:charset w:val="00"/>
    <w:family w:val="roman"/>
    <w:pitch w:val="default"/>
    <w:sig w:usb0="00000000" w:usb1="00000000" w:usb2="00000000" w:usb3="00000000" w:csb0="00000000" w:csb1="00000000"/>
  </w:font>
  <w:font w:name="Arial Narrow">
    <w:panose1 w:val="020B0606020202030204"/>
    <w:charset w:val="00"/>
    <w:family w:val="swiss"/>
    <w:pitch w:val="default"/>
    <w:sig w:usb0="00000287" w:usb1="00000800" w:usb2="00000000" w:usb3="00000000" w:csb0="2000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JiNjFmNzExYjIxOGZkYmIzZDZjMzU4MDM2MDNkODEifQ=="/>
  </w:docVars>
  <w:rsids>
    <w:rsidRoot w:val="00A71BE1"/>
    <w:rsid w:val="0000038C"/>
    <w:rsid w:val="000026E6"/>
    <w:rsid w:val="000052DC"/>
    <w:rsid w:val="0001153F"/>
    <w:rsid w:val="00015559"/>
    <w:rsid w:val="0003171D"/>
    <w:rsid w:val="00034EAF"/>
    <w:rsid w:val="000377FA"/>
    <w:rsid w:val="00037B42"/>
    <w:rsid w:val="000514F9"/>
    <w:rsid w:val="00055DC4"/>
    <w:rsid w:val="0006039B"/>
    <w:rsid w:val="0007113B"/>
    <w:rsid w:val="00077985"/>
    <w:rsid w:val="00095701"/>
    <w:rsid w:val="000972A4"/>
    <w:rsid w:val="000B0F9D"/>
    <w:rsid w:val="000B3BC8"/>
    <w:rsid w:val="000C1EBF"/>
    <w:rsid w:val="000C5038"/>
    <w:rsid w:val="000D2DCA"/>
    <w:rsid w:val="000D5160"/>
    <w:rsid w:val="000D59A8"/>
    <w:rsid w:val="000E2525"/>
    <w:rsid w:val="000E39CC"/>
    <w:rsid w:val="000E5928"/>
    <w:rsid w:val="000E7F53"/>
    <w:rsid w:val="000F3A78"/>
    <w:rsid w:val="001044FC"/>
    <w:rsid w:val="00115DE0"/>
    <w:rsid w:val="00125BE8"/>
    <w:rsid w:val="00125EB5"/>
    <w:rsid w:val="00127ECC"/>
    <w:rsid w:val="001302DF"/>
    <w:rsid w:val="00141A30"/>
    <w:rsid w:val="0014235B"/>
    <w:rsid w:val="001433F4"/>
    <w:rsid w:val="001449C0"/>
    <w:rsid w:val="00151157"/>
    <w:rsid w:val="001625DA"/>
    <w:rsid w:val="00163205"/>
    <w:rsid w:val="00164FAA"/>
    <w:rsid w:val="00167B35"/>
    <w:rsid w:val="00173650"/>
    <w:rsid w:val="001741A0"/>
    <w:rsid w:val="00177C3B"/>
    <w:rsid w:val="00184711"/>
    <w:rsid w:val="00190F6C"/>
    <w:rsid w:val="00194544"/>
    <w:rsid w:val="001947CB"/>
    <w:rsid w:val="001A6F91"/>
    <w:rsid w:val="001B2A0E"/>
    <w:rsid w:val="001C16DA"/>
    <w:rsid w:val="001C73AC"/>
    <w:rsid w:val="001D0721"/>
    <w:rsid w:val="001D198B"/>
    <w:rsid w:val="001E0DDC"/>
    <w:rsid w:val="001E1918"/>
    <w:rsid w:val="001E39C4"/>
    <w:rsid w:val="001E49FF"/>
    <w:rsid w:val="001E57CA"/>
    <w:rsid w:val="001F698F"/>
    <w:rsid w:val="00201E57"/>
    <w:rsid w:val="00204DB0"/>
    <w:rsid w:val="002101B8"/>
    <w:rsid w:val="002127B8"/>
    <w:rsid w:val="00216C8B"/>
    <w:rsid w:val="00217521"/>
    <w:rsid w:val="00227A64"/>
    <w:rsid w:val="002343EA"/>
    <w:rsid w:val="00235325"/>
    <w:rsid w:val="002442A3"/>
    <w:rsid w:val="00251C73"/>
    <w:rsid w:val="00252380"/>
    <w:rsid w:val="002554B0"/>
    <w:rsid w:val="00256018"/>
    <w:rsid w:val="002561CC"/>
    <w:rsid w:val="0025726D"/>
    <w:rsid w:val="0025795B"/>
    <w:rsid w:val="00266464"/>
    <w:rsid w:val="00270486"/>
    <w:rsid w:val="0027220C"/>
    <w:rsid w:val="0027295C"/>
    <w:rsid w:val="00276B63"/>
    <w:rsid w:val="002808AB"/>
    <w:rsid w:val="00284CD2"/>
    <w:rsid w:val="00285AE5"/>
    <w:rsid w:val="00297F43"/>
    <w:rsid w:val="002A1B60"/>
    <w:rsid w:val="002B5713"/>
    <w:rsid w:val="002B7CCB"/>
    <w:rsid w:val="002C43B8"/>
    <w:rsid w:val="002C71E7"/>
    <w:rsid w:val="002D2369"/>
    <w:rsid w:val="002D348C"/>
    <w:rsid w:val="002D4C8C"/>
    <w:rsid w:val="002F4242"/>
    <w:rsid w:val="002F64AF"/>
    <w:rsid w:val="002F74DC"/>
    <w:rsid w:val="00310502"/>
    <w:rsid w:val="00322CB8"/>
    <w:rsid w:val="00324EB8"/>
    <w:rsid w:val="003307ED"/>
    <w:rsid w:val="003334F6"/>
    <w:rsid w:val="0033444E"/>
    <w:rsid w:val="003402E8"/>
    <w:rsid w:val="00342CB6"/>
    <w:rsid w:val="0035286E"/>
    <w:rsid w:val="00353BA1"/>
    <w:rsid w:val="0035576C"/>
    <w:rsid w:val="00360937"/>
    <w:rsid w:val="00361463"/>
    <w:rsid w:val="00363847"/>
    <w:rsid w:val="003702AD"/>
    <w:rsid w:val="0037324C"/>
    <w:rsid w:val="00373349"/>
    <w:rsid w:val="0038210C"/>
    <w:rsid w:val="003870CC"/>
    <w:rsid w:val="003A1590"/>
    <w:rsid w:val="003A63F8"/>
    <w:rsid w:val="003B1D84"/>
    <w:rsid w:val="003B5345"/>
    <w:rsid w:val="003C607D"/>
    <w:rsid w:val="003C7A7E"/>
    <w:rsid w:val="003D0C3B"/>
    <w:rsid w:val="003D1CB6"/>
    <w:rsid w:val="003D3FFF"/>
    <w:rsid w:val="003D6B86"/>
    <w:rsid w:val="003D798A"/>
    <w:rsid w:val="003E2FD2"/>
    <w:rsid w:val="003E355B"/>
    <w:rsid w:val="003E6992"/>
    <w:rsid w:val="003F13AA"/>
    <w:rsid w:val="003F4088"/>
    <w:rsid w:val="003F5DA1"/>
    <w:rsid w:val="00417107"/>
    <w:rsid w:val="0041720E"/>
    <w:rsid w:val="00423495"/>
    <w:rsid w:val="0042410C"/>
    <w:rsid w:val="00425125"/>
    <w:rsid w:val="00425611"/>
    <w:rsid w:val="0042644B"/>
    <w:rsid w:val="004374BE"/>
    <w:rsid w:val="00444265"/>
    <w:rsid w:val="004502F4"/>
    <w:rsid w:val="004667F2"/>
    <w:rsid w:val="00475AC0"/>
    <w:rsid w:val="00493831"/>
    <w:rsid w:val="004958E0"/>
    <w:rsid w:val="00496E8A"/>
    <w:rsid w:val="004A41EF"/>
    <w:rsid w:val="004A44DF"/>
    <w:rsid w:val="004A700E"/>
    <w:rsid w:val="004B68A5"/>
    <w:rsid w:val="004B70B1"/>
    <w:rsid w:val="004B7E3E"/>
    <w:rsid w:val="004C0C76"/>
    <w:rsid w:val="004C27B9"/>
    <w:rsid w:val="004C3A3E"/>
    <w:rsid w:val="004C3DB4"/>
    <w:rsid w:val="004D2BA0"/>
    <w:rsid w:val="004D3489"/>
    <w:rsid w:val="004E363D"/>
    <w:rsid w:val="004F1ED6"/>
    <w:rsid w:val="004F1F15"/>
    <w:rsid w:val="004F65E5"/>
    <w:rsid w:val="005008E5"/>
    <w:rsid w:val="005014D1"/>
    <w:rsid w:val="00511CC2"/>
    <w:rsid w:val="00517C61"/>
    <w:rsid w:val="005216F4"/>
    <w:rsid w:val="00533D0F"/>
    <w:rsid w:val="0054211F"/>
    <w:rsid w:val="00542DA0"/>
    <w:rsid w:val="0054311D"/>
    <w:rsid w:val="00543C62"/>
    <w:rsid w:val="00543E11"/>
    <w:rsid w:val="005477DA"/>
    <w:rsid w:val="005526B0"/>
    <w:rsid w:val="005542A7"/>
    <w:rsid w:val="00555131"/>
    <w:rsid w:val="00557690"/>
    <w:rsid w:val="0056668D"/>
    <w:rsid w:val="005709EB"/>
    <w:rsid w:val="005712CB"/>
    <w:rsid w:val="005737FA"/>
    <w:rsid w:val="00577CBB"/>
    <w:rsid w:val="00580E39"/>
    <w:rsid w:val="00582889"/>
    <w:rsid w:val="00591636"/>
    <w:rsid w:val="00591C2B"/>
    <w:rsid w:val="005B31BE"/>
    <w:rsid w:val="005B442C"/>
    <w:rsid w:val="005B4F18"/>
    <w:rsid w:val="005C183C"/>
    <w:rsid w:val="005C21F0"/>
    <w:rsid w:val="005C3668"/>
    <w:rsid w:val="005D417A"/>
    <w:rsid w:val="005D4ACB"/>
    <w:rsid w:val="005D5EDA"/>
    <w:rsid w:val="005E4AFF"/>
    <w:rsid w:val="005F0AEF"/>
    <w:rsid w:val="00606509"/>
    <w:rsid w:val="00615D49"/>
    <w:rsid w:val="006216B9"/>
    <w:rsid w:val="00623CA7"/>
    <w:rsid w:val="006412D7"/>
    <w:rsid w:val="006446F0"/>
    <w:rsid w:val="00645C77"/>
    <w:rsid w:val="00647683"/>
    <w:rsid w:val="00647A28"/>
    <w:rsid w:val="006530C7"/>
    <w:rsid w:val="00654C80"/>
    <w:rsid w:val="00662769"/>
    <w:rsid w:val="00663516"/>
    <w:rsid w:val="0067327D"/>
    <w:rsid w:val="00682D83"/>
    <w:rsid w:val="00683AED"/>
    <w:rsid w:val="0069424B"/>
    <w:rsid w:val="00695D72"/>
    <w:rsid w:val="00697F78"/>
    <w:rsid w:val="006A4EA1"/>
    <w:rsid w:val="006B29CA"/>
    <w:rsid w:val="006B2B65"/>
    <w:rsid w:val="006B7491"/>
    <w:rsid w:val="006C1D25"/>
    <w:rsid w:val="006E12CC"/>
    <w:rsid w:val="006E1873"/>
    <w:rsid w:val="0070006A"/>
    <w:rsid w:val="007001F0"/>
    <w:rsid w:val="007014FC"/>
    <w:rsid w:val="00712B2A"/>
    <w:rsid w:val="007230C3"/>
    <w:rsid w:val="0075060C"/>
    <w:rsid w:val="007564B5"/>
    <w:rsid w:val="0076676A"/>
    <w:rsid w:val="00766EEB"/>
    <w:rsid w:val="00772515"/>
    <w:rsid w:val="00772A33"/>
    <w:rsid w:val="00772E4B"/>
    <w:rsid w:val="0078609E"/>
    <w:rsid w:val="007906CC"/>
    <w:rsid w:val="007918EE"/>
    <w:rsid w:val="007A1575"/>
    <w:rsid w:val="007B73C3"/>
    <w:rsid w:val="007C2598"/>
    <w:rsid w:val="007C79A9"/>
    <w:rsid w:val="007C7BAF"/>
    <w:rsid w:val="007E27D9"/>
    <w:rsid w:val="007E3476"/>
    <w:rsid w:val="007F596F"/>
    <w:rsid w:val="00802A0A"/>
    <w:rsid w:val="00822766"/>
    <w:rsid w:val="00824AB0"/>
    <w:rsid w:val="008270A7"/>
    <w:rsid w:val="008378DC"/>
    <w:rsid w:val="00837AFB"/>
    <w:rsid w:val="008412C9"/>
    <w:rsid w:val="00841584"/>
    <w:rsid w:val="008448FE"/>
    <w:rsid w:val="008839ED"/>
    <w:rsid w:val="00887DA0"/>
    <w:rsid w:val="008921C2"/>
    <w:rsid w:val="008931B1"/>
    <w:rsid w:val="00893296"/>
    <w:rsid w:val="008935D4"/>
    <w:rsid w:val="00895E43"/>
    <w:rsid w:val="008A72B1"/>
    <w:rsid w:val="008B3703"/>
    <w:rsid w:val="008B3DD4"/>
    <w:rsid w:val="008B43ED"/>
    <w:rsid w:val="008B4735"/>
    <w:rsid w:val="008C0E07"/>
    <w:rsid w:val="008C4A5A"/>
    <w:rsid w:val="008E325B"/>
    <w:rsid w:val="008E57CC"/>
    <w:rsid w:val="008F5155"/>
    <w:rsid w:val="008F6AB5"/>
    <w:rsid w:val="0090039B"/>
    <w:rsid w:val="009005B2"/>
    <w:rsid w:val="00907163"/>
    <w:rsid w:val="00933FA5"/>
    <w:rsid w:val="00934104"/>
    <w:rsid w:val="00935F0C"/>
    <w:rsid w:val="0094672C"/>
    <w:rsid w:val="00953697"/>
    <w:rsid w:val="00955A3F"/>
    <w:rsid w:val="00960430"/>
    <w:rsid w:val="00963B12"/>
    <w:rsid w:val="00967AA4"/>
    <w:rsid w:val="00972218"/>
    <w:rsid w:val="009841CB"/>
    <w:rsid w:val="009901EB"/>
    <w:rsid w:val="00995DC5"/>
    <w:rsid w:val="009A34AB"/>
    <w:rsid w:val="009D06B6"/>
    <w:rsid w:val="009D55F1"/>
    <w:rsid w:val="009E1FA0"/>
    <w:rsid w:val="009E3014"/>
    <w:rsid w:val="009F0BB3"/>
    <w:rsid w:val="00A0516D"/>
    <w:rsid w:val="00A05A16"/>
    <w:rsid w:val="00A06832"/>
    <w:rsid w:val="00A1341B"/>
    <w:rsid w:val="00A13AC5"/>
    <w:rsid w:val="00A1423D"/>
    <w:rsid w:val="00A169FD"/>
    <w:rsid w:val="00A204FB"/>
    <w:rsid w:val="00A205C1"/>
    <w:rsid w:val="00A206E4"/>
    <w:rsid w:val="00A267F9"/>
    <w:rsid w:val="00A30E76"/>
    <w:rsid w:val="00A31603"/>
    <w:rsid w:val="00A34683"/>
    <w:rsid w:val="00A36051"/>
    <w:rsid w:val="00A37C3C"/>
    <w:rsid w:val="00A40E7B"/>
    <w:rsid w:val="00A42891"/>
    <w:rsid w:val="00A45EDB"/>
    <w:rsid w:val="00A47CDA"/>
    <w:rsid w:val="00A51FF0"/>
    <w:rsid w:val="00A71BE1"/>
    <w:rsid w:val="00A72475"/>
    <w:rsid w:val="00A842DF"/>
    <w:rsid w:val="00A950B9"/>
    <w:rsid w:val="00A973BC"/>
    <w:rsid w:val="00A97968"/>
    <w:rsid w:val="00AA10D4"/>
    <w:rsid w:val="00AA706B"/>
    <w:rsid w:val="00AB0CFB"/>
    <w:rsid w:val="00AB15F8"/>
    <w:rsid w:val="00AB2664"/>
    <w:rsid w:val="00AB53AC"/>
    <w:rsid w:val="00AB6C97"/>
    <w:rsid w:val="00AC11D0"/>
    <w:rsid w:val="00AC4D4F"/>
    <w:rsid w:val="00AC7ABF"/>
    <w:rsid w:val="00AD0003"/>
    <w:rsid w:val="00AD18D6"/>
    <w:rsid w:val="00AD7DEB"/>
    <w:rsid w:val="00AF3E20"/>
    <w:rsid w:val="00AF45BF"/>
    <w:rsid w:val="00AF476E"/>
    <w:rsid w:val="00B03668"/>
    <w:rsid w:val="00B07E79"/>
    <w:rsid w:val="00B10FF0"/>
    <w:rsid w:val="00B129EF"/>
    <w:rsid w:val="00B17AF8"/>
    <w:rsid w:val="00B27494"/>
    <w:rsid w:val="00B30195"/>
    <w:rsid w:val="00B31A8D"/>
    <w:rsid w:val="00B356DC"/>
    <w:rsid w:val="00B369BE"/>
    <w:rsid w:val="00B37311"/>
    <w:rsid w:val="00B40795"/>
    <w:rsid w:val="00B40E4D"/>
    <w:rsid w:val="00B52013"/>
    <w:rsid w:val="00B57C2F"/>
    <w:rsid w:val="00B70134"/>
    <w:rsid w:val="00B801C3"/>
    <w:rsid w:val="00B83EF8"/>
    <w:rsid w:val="00B87AB6"/>
    <w:rsid w:val="00B929E0"/>
    <w:rsid w:val="00BA1EF6"/>
    <w:rsid w:val="00BA46C7"/>
    <w:rsid w:val="00BB3DF2"/>
    <w:rsid w:val="00BB5C59"/>
    <w:rsid w:val="00BB5E17"/>
    <w:rsid w:val="00BB5F62"/>
    <w:rsid w:val="00BC7D27"/>
    <w:rsid w:val="00BD58E6"/>
    <w:rsid w:val="00BE0A0A"/>
    <w:rsid w:val="00BE0DD8"/>
    <w:rsid w:val="00BE33D6"/>
    <w:rsid w:val="00BE7989"/>
    <w:rsid w:val="00BF0DC1"/>
    <w:rsid w:val="00BF5380"/>
    <w:rsid w:val="00BF68F7"/>
    <w:rsid w:val="00C00261"/>
    <w:rsid w:val="00C01D90"/>
    <w:rsid w:val="00C1036D"/>
    <w:rsid w:val="00C14435"/>
    <w:rsid w:val="00C23E6D"/>
    <w:rsid w:val="00C24361"/>
    <w:rsid w:val="00C37A71"/>
    <w:rsid w:val="00C442D1"/>
    <w:rsid w:val="00C51C5F"/>
    <w:rsid w:val="00C51E1F"/>
    <w:rsid w:val="00C56DCF"/>
    <w:rsid w:val="00C62BAA"/>
    <w:rsid w:val="00C65924"/>
    <w:rsid w:val="00C66833"/>
    <w:rsid w:val="00C6792D"/>
    <w:rsid w:val="00C71DAA"/>
    <w:rsid w:val="00C71E6E"/>
    <w:rsid w:val="00C745A9"/>
    <w:rsid w:val="00C76B43"/>
    <w:rsid w:val="00C770B6"/>
    <w:rsid w:val="00C77455"/>
    <w:rsid w:val="00C77936"/>
    <w:rsid w:val="00C77C63"/>
    <w:rsid w:val="00C8490D"/>
    <w:rsid w:val="00C84E9B"/>
    <w:rsid w:val="00C875F5"/>
    <w:rsid w:val="00CA1004"/>
    <w:rsid w:val="00CA49A9"/>
    <w:rsid w:val="00CB2DCE"/>
    <w:rsid w:val="00CB2EF4"/>
    <w:rsid w:val="00CB42C2"/>
    <w:rsid w:val="00CC65AD"/>
    <w:rsid w:val="00CC7C0B"/>
    <w:rsid w:val="00CD2A4D"/>
    <w:rsid w:val="00CD5891"/>
    <w:rsid w:val="00CD607E"/>
    <w:rsid w:val="00CD6EAB"/>
    <w:rsid w:val="00CD7F62"/>
    <w:rsid w:val="00CE3B3D"/>
    <w:rsid w:val="00CE4D8A"/>
    <w:rsid w:val="00CF2676"/>
    <w:rsid w:val="00CF3A66"/>
    <w:rsid w:val="00CF42BE"/>
    <w:rsid w:val="00CF7E7A"/>
    <w:rsid w:val="00D0156B"/>
    <w:rsid w:val="00D01A7C"/>
    <w:rsid w:val="00D04CBB"/>
    <w:rsid w:val="00D05E2F"/>
    <w:rsid w:val="00D141A5"/>
    <w:rsid w:val="00D21B8D"/>
    <w:rsid w:val="00D24824"/>
    <w:rsid w:val="00D25042"/>
    <w:rsid w:val="00D26654"/>
    <w:rsid w:val="00D26D15"/>
    <w:rsid w:val="00D27E79"/>
    <w:rsid w:val="00D3212E"/>
    <w:rsid w:val="00D431AD"/>
    <w:rsid w:val="00D45281"/>
    <w:rsid w:val="00D53DC4"/>
    <w:rsid w:val="00D57603"/>
    <w:rsid w:val="00D601FE"/>
    <w:rsid w:val="00D6753A"/>
    <w:rsid w:val="00D7040A"/>
    <w:rsid w:val="00D71559"/>
    <w:rsid w:val="00D7374F"/>
    <w:rsid w:val="00D73864"/>
    <w:rsid w:val="00D77523"/>
    <w:rsid w:val="00D819D3"/>
    <w:rsid w:val="00D86A2F"/>
    <w:rsid w:val="00D909E7"/>
    <w:rsid w:val="00D90BC6"/>
    <w:rsid w:val="00D92B06"/>
    <w:rsid w:val="00D9452A"/>
    <w:rsid w:val="00DC0757"/>
    <w:rsid w:val="00DD409A"/>
    <w:rsid w:val="00DD4D91"/>
    <w:rsid w:val="00DD7281"/>
    <w:rsid w:val="00DE24B3"/>
    <w:rsid w:val="00DE3893"/>
    <w:rsid w:val="00DF08C9"/>
    <w:rsid w:val="00DF5EF9"/>
    <w:rsid w:val="00E003D0"/>
    <w:rsid w:val="00E004EE"/>
    <w:rsid w:val="00E025CD"/>
    <w:rsid w:val="00E05034"/>
    <w:rsid w:val="00E069F9"/>
    <w:rsid w:val="00E13F46"/>
    <w:rsid w:val="00E14AD6"/>
    <w:rsid w:val="00E15E53"/>
    <w:rsid w:val="00E16D3F"/>
    <w:rsid w:val="00E220DE"/>
    <w:rsid w:val="00E26F68"/>
    <w:rsid w:val="00E30EA1"/>
    <w:rsid w:val="00E31233"/>
    <w:rsid w:val="00E373CB"/>
    <w:rsid w:val="00E74755"/>
    <w:rsid w:val="00E74E4D"/>
    <w:rsid w:val="00E77D37"/>
    <w:rsid w:val="00E81D6C"/>
    <w:rsid w:val="00E821A0"/>
    <w:rsid w:val="00E90C0B"/>
    <w:rsid w:val="00E915EA"/>
    <w:rsid w:val="00E9529E"/>
    <w:rsid w:val="00E96761"/>
    <w:rsid w:val="00E97E93"/>
    <w:rsid w:val="00EA6444"/>
    <w:rsid w:val="00EB0FB2"/>
    <w:rsid w:val="00EB67A2"/>
    <w:rsid w:val="00EB7FBA"/>
    <w:rsid w:val="00EC1465"/>
    <w:rsid w:val="00ED4169"/>
    <w:rsid w:val="00ED4428"/>
    <w:rsid w:val="00ED6800"/>
    <w:rsid w:val="00EE1038"/>
    <w:rsid w:val="00EE1637"/>
    <w:rsid w:val="00EE2FF9"/>
    <w:rsid w:val="00EF2FAC"/>
    <w:rsid w:val="00EF67AA"/>
    <w:rsid w:val="00F01F07"/>
    <w:rsid w:val="00F03FA2"/>
    <w:rsid w:val="00F07A0E"/>
    <w:rsid w:val="00F10224"/>
    <w:rsid w:val="00F11687"/>
    <w:rsid w:val="00F13C59"/>
    <w:rsid w:val="00F161EE"/>
    <w:rsid w:val="00F168FB"/>
    <w:rsid w:val="00F1784C"/>
    <w:rsid w:val="00F21312"/>
    <w:rsid w:val="00F22E15"/>
    <w:rsid w:val="00F23D77"/>
    <w:rsid w:val="00F25681"/>
    <w:rsid w:val="00F3504C"/>
    <w:rsid w:val="00F41A60"/>
    <w:rsid w:val="00F41B3B"/>
    <w:rsid w:val="00F43502"/>
    <w:rsid w:val="00F63357"/>
    <w:rsid w:val="00F642E6"/>
    <w:rsid w:val="00F75621"/>
    <w:rsid w:val="00F75B8D"/>
    <w:rsid w:val="00F7601B"/>
    <w:rsid w:val="00F81130"/>
    <w:rsid w:val="00F82AEB"/>
    <w:rsid w:val="00F84401"/>
    <w:rsid w:val="00F92A30"/>
    <w:rsid w:val="00FA5496"/>
    <w:rsid w:val="00FA7E3D"/>
    <w:rsid w:val="00FB3375"/>
    <w:rsid w:val="00FB56C5"/>
    <w:rsid w:val="00FB79DD"/>
    <w:rsid w:val="00FC49C6"/>
    <w:rsid w:val="00FC55F2"/>
    <w:rsid w:val="00FD17D4"/>
    <w:rsid w:val="00FD212D"/>
    <w:rsid w:val="00FE4FBE"/>
    <w:rsid w:val="00FE57F0"/>
    <w:rsid w:val="00FE5ACA"/>
    <w:rsid w:val="00FF4417"/>
    <w:rsid w:val="011E1FE4"/>
    <w:rsid w:val="03192A63"/>
    <w:rsid w:val="051D405C"/>
    <w:rsid w:val="075A7AEE"/>
    <w:rsid w:val="0B160779"/>
    <w:rsid w:val="0DFE5677"/>
    <w:rsid w:val="0F8B3AFD"/>
    <w:rsid w:val="1C8256C5"/>
    <w:rsid w:val="23231726"/>
    <w:rsid w:val="23A203FB"/>
    <w:rsid w:val="26B75F6B"/>
    <w:rsid w:val="2EB3170E"/>
    <w:rsid w:val="2EE144CD"/>
    <w:rsid w:val="2F950E14"/>
    <w:rsid w:val="320F4EAD"/>
    <w:rsid w:val="33AB50A9"/>
    <w:rsid w:val="33C543BD"/>
    <w:rsid w:val="377E7503"/>
    <w:rsid w:val="391E1E7A"/>
    <w:rsid w:val="3A4F1346"/>
    <w:rsid w:val="3B621BDF"/>
    <w:rsid w:val="3B8331F4"/>
    <w:rsid w:val="3C8A7F52"/>
    <w:rsid w:val="3F163D1F"/>
    <w:rsid w:val="43C401ED"/>
    <w:rsid w:val="46E73CCF"/>
    <w:rsid w:val="46F35349"/>
    <w:rsid w:val="4A421E6C"/>
    <w:rsid w:val="4F5A7C58"/>
    <w:rsid w:val="4FAC5A0E"/>
    <w:rsid w:val="513C13D7"/>
    <w:rsid w:val="54A11E85"/>
    <w:rsid w:val="608027D0"/>
    <w:rsid w:val="624B51DE"/>
    <w:rsid w:val="6712451C"/>
    <w:rsid w:val="69D97BC4"/>
    <w:rsid w:val="702D2D59"/>
    <w:rsid w:val="73A40BF2"/>
    <w:rsid w:val="74F17E67"/>
    <w:rsid w:val="75C630A2"/>
    <w:rsid w:val="75F23B02"/>
    <w:rsid w:val="782D7408"/>
    <w:rsid w:val="79DA711C"/>
    <w:rsid w:val="7BA479E1"/>
    <w:rsid w:val="7C52568F"/>
    <w:rsid w:val="7C7766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autoRedefine/>
    <w:semiHidden/>
    <w:unhideWhenUsed/>
    <w:qFormat/>
    <w:uiPriority w:val="1"/>
  </w:style>
  <w:style w:type="table" w:default="1" w:styleId="5">
    <w:name w:val="Normal Table"/>
    <w:autoRedefine/>
    <w:semiHidden/>
    <w:unhideWhenUsed/>
    <w:qFormat/>
    <w:uiPriority w:val="99"/>
    <w:tblPr>
      <w:tblCellMar>
        <w:top w:w="0" w:type="dxa"/>
        <w:left w:w="108" w:type="dxa"/>
        <w:bottom w:w="0" w:type="dxa"/>
        <w:right w:w="108" w:type="dxa"/>
      </w:tblCellMar>
    </w:tblPr>
  </w:style>
  <w:style w:type="paragraph" w:styleId="2">
    <w:name w:val="annotation text"/>
    <w:basedOn w:val="1"/>
    <w:autoRedefine/>
    <w:semiHidden/>
    <w:qFormat/>
    <w:uiPriority w:val="0"/>
    <w:pPr>
      <w:jc w:val="left"/>
    </w:pPr>
  </w:style>
  <w:style w:type="paragraph" w:styleId="3">
    <w:name w:val="footer"/>
    <w:basedOn w:val="1"/>
    <w:link w:val="9"/>
    <w:autoRedefine/>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4">
    <w:name w:val="header"/>
    <w:basedOn w:val="1"/>
    <w:link w:val="8"/>
    <w:autoRedefine/>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styleId="7">
    <w:name w:val="annotation reference"/>
    <w:semiHidden/>
    <w:qFormat/>
    <w:uiPriority w:val="0"/>
    <w:rPr>
      <w:sz w:val="21"/>
      <w:szCs w:val="21"/>
    </w:rPr>
  </w:style>
  <w:style w:type="character" w:customStyle="1" w:styleId="8">
    <w:name w:val="页眉 字符"/>
    <w:basedOn w:val="6"/>
    <w:link w:val="4"/>
    <w:autoRedefine/>
    <w:qFormat/>
    <w:uiPriority w:val="99"/>
    <w:rPr>
      <w:sz w:val="18"/>
      <w:szCs w:val="18"/>
    </w:rPr>
  </w:style>
  <w:style w:type="character" w:customStyle="1" w:styleId="9">
    <w:name w:val="页脚 字符"/>
    <w:basedOn w:val="6"/>
    <w:link w:val="3"/>
    <w:autoRedefine/>
    <w:qFormat/>
    <w:uiPriority w:val="99"/>
    <w:rPr>
      <w:sz w:val="18"/>
      <w:szCs w:val="18"/>
    </w:rPr>
  </w:style>
  <w:style w:type="paragraph" w:customStyle="1" w:styleId="10">
    <w:name w:val="Default"/>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15</Pages>
  <Words>10850</Words>
  <Characters>12540</Characters>
  <Lines>96</Lines>
  <Paragraphs>27</Paragraphs>
  <TotalTime>13</TotalTime>
  <ScaleCrop>false</ScaleCrop>
  <LinksUpToDate>false</LinksUpToDate>
  <CharactersWithSpaces>13068</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2023-03-24T03:09:00Z</dcterms:created>
  <dc:creator>李锐</dc:creator>
  <cp:lastModifiedBy>王雅杰</cp:lastModifiedBy>
  <dcterms:modified xsi:type="dcterms:W3CDTF">2024-04-23T07:40:12Z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4750FE94F88041E883D3F9D0AC2C67DB</vt:lpwstr>
  </property>
</Properties>
</file>