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Theme="majorEastAsia" w:hAnsiTheme="majorEastAsia" w:eastAsiaTheme="majorEastAsia"/>
          <w:b/>
          <w:szCs w:val="24"/>
        </w:rPr>
        <w:alias w:val="选项模块:A股"/>
        <w:tag w:val="_SEC_e03362b794b84f94aa9e1cf0d75ab0a7"/>
        <w:id w:val="291725814"/>
        <w:lock w:val="sdtLocked"/>
        <w:placeholder>
          <w:docPart w:val="GBC22222222222222222222222222222"/>
        </w:placeholder>
      </w:sdtPr>
      <w:sdtEndPr>
        <w:rPr>
          <w:rFonts w:hint="eastAsia" w:asciiTheme="minorHAnsi" w:hAnsiTheme="minorHAnsi" w:eastAsiaTheme="minorEastAsia"/>
          <w:b w:val="0"/>
          <w:szCs w:val="24"/>
        </w:rPr>
      </w:sdtEndPr>
      <w:sdtContent>
        <w:p>
          <w:pPr>
            <w:jc w:val="left"/>
            <w:rPr>
              <w:rFonts w:asciiTheme="majorEastAsia" w:hAnsiTheme="majorEastAsia" w:eastAsiaTheme="majorEastAsia"/>
              <w:bCs/>
              <w:szCs w:val="24"/>
            </w:rPr>
          </w:pPr>
          <w:bookmarkStart w:id="0" w:name="_GoBack"/>
          <w:bookmarkEnd w:id="0"/>
          <w:r>
            <w:rPr>
              <w:rFonts w:hint="eastAsia" w:asciiTheme="majorEastAsia" w:hAnsiTheme="majorEastAsia" w:eastAsiaTheme="majorEastAsia"/>
              <w:bCs/>
              <w:szCs w:val="24"/>
            </w:rPr>
            <w:t>证券代码：</w:t>
          </w:r>
          <w:sdt>
            <w:sdtPr>
              <w:rPr>
                <w:rFonts w:hint="eastAsia" w:asciiTheme="majorEastAsia" w:hAnsiTheme="majorEastAsia" w:eastAsiaTheme="majorEastAsia"/>
                <w:bCs/>
                <w:szCs w:val="24"/>
              </w:rPr>
              <w:alias w:val="A股代码"/>
              <w:tag w:val="_GBC_cc6fdf7dc2054e4f9e082ed74b6a5425"/>
              <w:id w:val="1990600693"/>
              <w:lock w:val="sdtLocked"/>
              <w:placeholder>
                <w:docPart w:val="GBC22222222222222222222222222222"/>
              </w:placeholder>
            </w:sdtPr>
            <w:sdtEndPr>
              <w:rPr>
                <w:rFonts w:hint="eastAsia" w:asciiTheme="majorEastAsia" w:hAnsiTheme="majorEastAsia" w:eastAsiaTheme="majorEastAsia"/>
                <w:bCs/>
                <w:szCs w:val="24"/>
              </w:rPr>
            </w:sdtEndPr>
            <w:sdtContent>
              <w:r>
                <w:rPr>
                  <w:rFonts w:hint="eastAsia" w:asciiTheme="majorEastAsia" w:hAnsiTheme="majorEastAsia" w:eastAsiaTheme="majorEastAsia"/>
                  <w:bCs/>
                  <w:szCs w:val="24"/>
                </w:rPr>
                <w:t>600200</w:t>
              </w:r>
            </w:sdtContent>
          </w:sdt>
          <w:r>
            <w:rPr>
              <w:rFonts w:hint="eastAsia" w:asciiTheme="majorEastAsia" w:hAnsiTheme="majorEastAsia" w:eastAsiaTheme="majorEastAsia"/>
              <w:bCs/>
              <w:szCs w:val="24"/>
            </w:rPr>
            <w:t xml:space="preserve">         证券简称：</w:t>
          </w:r>
          <w:sdt>
            <w:sdtPr>
              <w:rPr>
                <w:rFonts w:hint="eastAsia" w:asciiTheme="majorEastAsia" w:hAnsiTheme="majorEastAsia" w:eastAsiaTheme="majorEastAsia"/>
                <w:bCs/>
                <w:szCs w:val="24"/>
              </w:rPr>
              <w:alias w:val="A股简称"/>
              <w:tag w:val="_GBC_77e8fad392474aa4be479414251ffb31"/>
              <w:id w:val="1020897283"/>
              <w:lock w:val="sdtLocked"/>
              <w:placeholder>
                <w:docPart w:val="GBC22222222222222222222222222222"/>
              </w:placeholder>
            </w:sdtPr>
            <w:sdtEndPr>
              <w:rPr>
                <w:rFonts w:hint="eastAsia" w:asciiTheme="majorEastAsia" w:hAnsiTheme="majorEastAsia" w:eastAsiaTheme="majorEastAsia"/>
                <w:bCs/>
                <w:szCs w:val="24"/>
              </w:rPr>
            </w:sdtEndPr>
            <w:sdtContent>
              <w:r>
                <w:rPr>
                  <w:rFonts w:hint="eastAsia" w:asciiTheme="majorEastAsia" w:hAnsiTheme="majorEastAsia" w:eastAsiaTheme="majorEastAsia"/>
                  <w:bCs/>
                  <w:szCs w:val="24"/>
                </w:rPr>
                <w:t>江苏吴中</w:t>
              </w:r>
            </w:sdtContent>
          </w:sdt>
          <w:r>
            <w:rPr>
              <w:rFonts w:hint="eastAsia" w:asciiTheme="majorEastAsia" w:hAnsiTheme="majorEastAsia" w:eastAsiaTheme="majorEastAsia"/>
              <w:bCs/>
              <w:szCs w:val="24"/>
            </w:rPr>
            <w:t xml:space="preserve">         公告编号：</w:t>
          </w:r>
          <w:sdt>
            <w:sdtPr>
              <w:rPr>
                <w:rFonts w:hint="eastAsia" w:asciiTheme="majorEastAsia" w:hAnsiTheme="majorEastAsia" w:eastAsiaTheme="majorEastAsia"/>
                <w:bCs/>
                <w:szCs w:val="24"/>
              </w:rPr>
              <w:alias w:val="临时公告编号"/>
              <w:tag w:val="_GBC_fff01b59764149628ec7651b658cdfb6"/>
              <w:id w:val="-340472722"/>
              <w:lock w:val="sdtLocked"/>
              <w:placeholder>
                <w:docPart w:val="GBC22222222222222222222222222222"/>
              </w:placeholder>
            </w:sdtPr>
            <w:sdtEndPr>
              <w:rPr>
                <w:rFonts w:hint="eastAsia" w:asciiTheme="majorEastAsia" w:hAnsiTheme="majorEastAsia" w:eastAsiaTheme="majorEastAsia"/>
                <w:bCs/>
                <w:szCs w:val="24"/>
              </w:rPr>
            </w:sdtEndPr>
            <w:sdtContent>
              <w:r>
                <w:rPr>
                  <w:rFonts w:hint="eastAsia" w:asciiTheme="majorEastAsia" w:hAnsiTheme="majorEastAsia" w:eastAsiaTheme="majorEastAsia"/>
                  <w:bCs/>
                  <w:szCs w:val="24"/>
                </w:rPr>
                <w:t>2024-041</w:t>
              </w:r>
            </w:sdtContent>
          </w:sdt>
        </w:p>
        <w:p>
          <w:pPr>
            <w:rPr>
              <w:szCs w:val="24"/>
            </w:rPr>
          </w:pPr>
        </w:p>
      </w:sdtContent>
    </w:sdt>
    <w:sdt>
      <w:sdtPr>
        <w:rPr>
          <w:rFonts w:hint="eastAsia" w:ascii="黑体" w:hAnsi="黑体" w:eastAsia="黑体"/>
          <w:b/>
          <w:sz w:val="28"/>
          <w:szCs w:val="28"/>
        </w:rPr>
        <w:alias w:val="模块:可转债上市公告"/>
        <w:tag w:val="_SEC_b41758ce170d4001bde4cc3e7b883f48"/>
        <w:id w:val="708002467"/>
        <w:lock w:val="sdtLocked"/>
        <w:placeholder>
          <w:docPart w:val="GBC22222222222222222222222222222"/>
        </w:placeholder>
      </w:sdtPr>
      <w:sdtEndPr>
        <w:rPr>
          <w:rFonts w:hint="eastAsia" w:ascii="黑体" w:hAnsi="黑体" w:eastAsia="黑体"/>
          <w:b/>
          <w:color w:val="FF0000"/>
          <w:sz w:val="28"/>
          <w:szCs w:val="28"/>
        </w:rPr>
      </w:sdtEndPr>
      <w:sdtContent>
        <w:p>
          <w:pPr>
            <w:spacing w:before="156" w:beforeLines="50" w:after="156" w:afterLines="50" w:line="360" w:lineRule="auto"/>
            <w:jc w:val="center"/>
            <w:rPr>
              <w:rFonts w:ascii="黑体" w:hAnsi="黑体" w:eastAsia="黑体"/>
              <w:b/>
              <w:color w:val="FF0000"/>
              <w:sz w:val="32"/>
              <w:szCs w:val="32"/>
            </w:rPr>
          </w:pPr>
          <w:sdt>
            <w:sdtPr>
              <w:rPr>
                <w:rFonts w:hint="eastAsia" w:ascii="黑体" w:hAnsi="黑体" w:eastAsia="黑体"/>
                <w:b/>
                <w:color w:val="FF0000"/>
                <w:sz w:val="32"/>
                <w:szCs w:val="32"/>
              </w:rPr>
              <w:alias w:val="公司法定中文名称"/>
              <w:tag w:val="_GBC_469ed98c26544cde935109dfa7edca74"/>
              <w:id w:val="1901316210"/>
              <w:lock w:val="sdtLocked"/>
              <w:placeholder>
                <w:docPart w:val="GBC22222222222222222222222222222"/>
              </w:placeholder>
              <w:dataBinding w:prefixMappings="xmlns:clcta-gie='clcta-gie'" w:xpath="/*/clcta-gie:GongSiFaDingZhongWenMingCheng[not(@periodRef)]" w:storeItemID="{F9CFF96E-F764-41B9-B1F0-CADBA89E637A}"/>
              <w:text/>
            </w:sdtPr>
            <w:sdtEndPr>
              <w:rPr>
                <w:rFonts w:hint="eastAsia" w:ascii="黑体" w:hAnsi="黑体" w:eastAsia="黑体"/>
                <w:b/>
                <w:color w:val="FF0000"/>
                <w:sz w:val="32"/>
                <w:szCs w:val="32"/>
              </w:rPr>
            </w:sdtEndPr>
            <w:sdtContent>
              <w:r>
                <w:rPr>
                  <w:rFonts w:hint="eastAsia" w:ascii="黑体" w:hAnsi="黑体" w:eastAsia="黑体"/>
                  <w:b/>
                  <w:color w:val="FF0000"/>
                  <w:sz w:val="32"/>
                  <w:szCs w:val="32"/>
                </w:rPr>
                <w:t>江苏吴中医药发展股份有限公司</w:t>
              </w:r>
            </w:sdtContent>
          </w:sdt>
        </w:p>
        <w:p>
          <w:pPr>
            <w:spacing w:before="156" w:beforeLines="50" w:after="156" w:afterLines="50" w:line="360" w:lineRule="auto"/>
            <w:jc w:val="center"/>
            <w:rPr>
              <w:rStyle w:val="26"/>
              <w:rFonts w:ascii="黑体" w:hAnsi="黑体" w:eastAsia="黑体"/>
              <w:b/>
              <w:sz w:val="32"/>
              <w:szCs w:val="32"/>
            </w:rPr>
          </w:pPr>
          <w:r>
            <w:rPr>
              <w:rStyle w:val="26"/>
              <w:rFonts w:ascii="黑体" w:hAnsi="黑体" w:eastAsia="黑体"/>
              <w:b/>
              <w:sz w:val="32"/>
              <w:szCs w:val="32"/>
            </w:rPr>
            <w:t xml:space="preserve">关于2021年限制性股票激励计划首次授予部分 </w:t>
          </w:r>
        </w:p>
        <w:p>
          <w:pPr>
            <w:spacing w:before="156" w:beforeLines="50" w:after="156" w:afterLines="50" w:line="360" w:lineRule="auto"/>
            <w:jc w:val="center"/>
            <w:rPr>
              <w:rStyle w:val="26"/>
              <w:rFonts w:ascii="黑体" w:hAnsi="黑体" w:eastAsia="黑体"/>
              <w:b/>
              <w:sz w:val="32"/>
              <w:szCs w:val="32"/>
            </w:rPr>
          </w:pPr>
          <w:r>
            <w:rPr>
              <w:rStyle w:val="26"/>
              <w:rFonts w:ascii="黑体" w:hAnsi="黑体" w:eastAsia="黑体"/>
              <w:b/>
              <w:sz w:val="32"/>
              <w:szCs w:val="32"/>
            </w:rPr>
            <w:t>第二个解除限售期及预留授予部分第一个解除限售期</w:t>
          </w:r>
        </w:p>
        <w:p>
          <w:pPr>
            <w:spacing w:before="156" w:beforeLines="50" w:after="156" w:afterLines="50" w:line="360" w:lineRule="auto"/>
            <w:jc w:val="center"/>
            <w:rPr>
              <w:rFonts w:ascii="黑体" w:hAnsi="黑体" w:eastAsia="黑体"/>
              <w:b/>
              <w:color w:val="FF0000"/>
              <w:sz w:val="32"/>
              <w:szCs w:val="32"/>
            </w:rPr>
          </w:pPr>
          <w:r>
            <w:rPr>
              <w:rStyle w:val="26"/>
              <w:rFonts w:ascii="黑体" w:hAnsi="黑体" w:eastAsia="黑体"/>
              <w:b/>
              <w:sz w:val="32"/>
              <w:szCs w:val="32"/>
            </w:rPr>
            <w:t>解除限售暨上市公告</w:t>
          </w:r>
        </w:p>
      </w:sdtContent>
    </w:sdt>
    <w:sdt>
      <w:sdtPr>
        <w:rPr>
          <w:rFonts w:asciiTheme="minorEastAsia" w:hAnsiTheme="minorEastAsia"/>
          <w:i/>
          <w:color w:val="0070C0"/>
          <w:szCs w:val="24"/>
        </w:rPr>
        <w:alias w:val="模块:本公司董事会及全体董事保证本公告内容不存在任何虚假记载、误导..."/>
        <w:tag w:val="_SEC_36fd8164e5044892854b7c85141847a1"/>
        <w:id w:val="-1457871021"/>
        <w:lock w:val="sdtLocked"/>
        <w:placeholder>
          <w:docPart w:val="GBC22222222222222222222222222222"/>
        </w:placeholder>
      </w:sdtPr>
      <w:sdtEndPr>
        <w:rPr>
          <w:rFonts w:asciiTheme="minorHAnsi" w:hAnsiTheme="minorHAnsi"/>
          <w:i/>
          <w:color w:val="0070C0"/>
          <w:szCs w:val="21"/>
        </w:rPr>
      </w:sdtEndPr>
      <w:sdtContent>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7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pPr>
                  <w:spacing w:line="360" w:lineRule="auto"/>
                  <w:rPr>
                    <w:rFonts w:hint="eastAsia" w:ascii="宋体" w:hAnsi="宋体" w:eastAsia="宋体"/>
                    <w:b/>
                    <w:bCs/>
                    <w:szCs w:val="24"/>
                  </w:rPr>
                </w:pPr>
                <w:r>
                  <w:rPr>
                    <w:rFonts w:hint="eastAsia" w:asciiTheme="minorEastAsia" w:hAnsiTheme="minorEastAsia"/>
                    <w:b/>
                    <w:bCs/>
                    <w:szCs w:val="24"/>
                  </w:rPr>
                  <w:t xml:space="preserve">    </w:t>
                </w:r>
                <w:r>
                  <w:rPr>
                    <w:rFonts w:hint="eastAsia" w:ascii="宋体" w:hAnsi="宋体" w:eastAsia="宋体"/>
                    <w:b/>
                    <w:bCs/>
                    <w:szCs w:val="24"/>
                  </w:rPr>
                  <w:t>本公司董事会及全体董事保证本公告内容不存在任何虚假记载、误导性陈述或者重大遗漏，并对其内容的真实性、准确性和完整性依法承担法律责任。</w:t>
                </w:r>
              </w:p>
            </w:tc>
          </w:tr>
        </w:tbl>
        <w:p>
          <w:pPr>
            <w:rPr>
              <w:i/>
              <w:color w:val="0070C0"/>
              <w:szCs w:val="21"/>
            </w:rPr>
          </w:pPr>
        </w:p>
      </w:sdtContent>
    </w:sdt>
    <w:p>
      <w:pPr>
        <w:pStyle w:val="2"/>
        <w:keepNext w:val="0"/>
        <w:keepLines w:val="0"/>
        <w:tabs>
          <w:tab w:val="left" w:pos="3372"/>
        </w:tabs>
        <w:spacing w:line="240" w:lineRule="auto"/>
        <w:ind w:firstLine="111" w:firstLineChars="46"/>
        <w:rPr>
          <w:rFonts w:ascii="Calibri" w:hAnsi="Calibri" w:eastAsia="宋体" w:cs="Times New Roman"/>
          <w:kern w:val="0"/>
          <w:sz w:val="24"/>
          <w:szCs w:val="24"/>
        </w:rPr>
      </w:pPr>
      <w:r>
        <w:rPr>
          <w:rFonts w:hint="eastAsia" w:ascii="Calibri" w:hAnsi="Calibri" w:eastAsia="宋体" w:cs="Times New Roman"/>
          <w:kern w:val="0"/>
          <w:sz w:val="24"/>
          <w:szCs w:val="24"/>
        </w:rPr>
        <w:t>重要内容提示：</w:t>
      </w:r>
    </w:p>
    <w:sdt>
      <w:sdtPr>
        <w:rPr>
          <w:rFonts w:hint="eastAsia" w:ascii="仿宋_GB2312" w:eastAsia="仿宋_GB2312" w:hAnsiTheme="minorEastAsia"/>
          <w:sz w:val="28"/>
        </w:rPr>
        <w:alias w:val="模块:股票上市类型"/>
        <w:tag w:val="_SEC_b43a402482764390adb7b6e242651dbd"/>
        <w:id w:val="-1619069534"/>
        <w:lock w:val="sdtLocked"/>
        <w:placeholder>
          <w:docPart w:val="GBC22222222222222222222222222222"/>
        </w:placeholder>
      </w:sdtPr>
      <w:sdtEndPr>
        <w:rPr>
          <w:rFonts w:hint="eastAsia" w:asciiTheme="minorEastAsia" w:hAnsiTheme="minorEastAsia" w:eastAsiaTheme="minorEastAsia"/>
          <w:sz w:val="24"/>
          <w:szCs w:val="24"/>
        </w:rPr>
      </w:sdtEndPr>
      <w:sdtContent>
        <w:p>
          <w:pPr>
            <w:numPr>
              <w:ilvl w:val="0"/>
              <w:numId w:val="1"/>
            </w:numPr>
            <w:adjustRightInd w:val="0"/>
            <w:snapToGrid w:val="0"/>
            <w:spacing w:line="360" w:lineRule="auto"/>
            <w:ind w:left="0" w:firstLine="560" w:firstLineChars="200"/>
            <w:rPr>
              <w:rFonts w:asciiTheme="minorEastAsia" w:hAnsiTheme="minorEastAsia"/>
              <w:szCs w:val="24"/>
            </w:rPr>
          </w:pPr>
          <w:r>
            <w:rPr>
              <w:rFonts w:hint="eastAsia" w:asciiTheme="minorEastAsia" w:hAnsiTheme="minorEastAsia"/>
              <w:szCs w:val="24"/>
            </w:rPr>
            <w:t>本次股票上市类型为</w:t>
          </w:r>
          <w:sdt>
            <w:sdtPr>
              <w:rPr>
                <w:rFonts w:hint="eastAsia" w:asciiTheme="minorEastAsia" w:hAnsiTheme="minorEastAsia"/>
                <w:szCs w:val="24"/>
              </w:rPr>
              <w:alias w:val="股票上市类型"/>
              <w:tag w:val="_GBC_878a3e380d604621b88f15d69b03bcf2"/>
              <w:id w:val="-1867895646"/>
              <w:lock w:val="sdtLocked"/>
              <w:placeholder>
                <w:docPart w:val="GBC22222222222222222222222222222"/>
              </w:placeholder>
              <w:comboBox>
                <w:listItem w:displayText="首发" w:value="首发"/>
                <w:listItem w:displayText="非公开发行" w:value="非公开发行"/>
                <w:listItem w:displayText="股权激励" w:value="股权激励"/>
                <w:listItem w:displayText="首发战略配售股票/存托凭证（限售期为XX月）" w:value="首发战略配售股票/存托凭证（限售期为XX月）"/>
                <w:listItem w:displayText="配股/存" w:value="配股/存"/>
                <w:listItem w:displayText="增发" w:value="增发"/>
                <w:listItem w:displayText="吸收合并" w:value="吸收合并"/>
                <w:listItem w:displayText="股改后限售" w:value="股改后限售"/>
                <w:listItem w:displayText="其他" w:value="其他"/>
              </w:comboBox>
            </w:sdtPr>
            <w:sdtEndPr>
              <w:rPr>
                <w:rFonts w:hint="eastAsia" w:asciiTheme="minorEastAsia" w:hAnsiTheme="minorEastAsia"/>
                <w:szCs w:val="24"/>
              </w:rPr>
            </w:sdtEndPr>
            <w:sdtContent>
              <w:r>
                <w:rPr>
                  <w:rFonts w:hint="eastAsia" w:asciiTheme="minorEastAsia" w:hAnsiTheme="minorEastAsia"/>
                  <w:szCs w:val="24"/>
                </w:rPr>
                <w:t>股权激励</w:t>
              </w:r>
            </w:sdtContent>
          </w:sdt>
          <w:r>
            <w:rPr>
              <w:rFonts w:hint="eastAsia" w:asciiTheme="minorEastAsia" w:hAnsiTheme="minorEastAsia"/>
              <w:szCs w:val="24"/>
            </w:rPr>
            <w:t>股份；股票认购方式为</w:t>
          </w:r>
          <w:sdt>
            <w:sdtPr>
              <w:rPr>
                <w:rFonts w:hint="eastAsia" w:asciiTheme="minorEastAsia" w:hAnsiTheme="minorEastAsia"/>
                <w:szCs w:val="24"/>
              </w:rPr>
              <w:alias w:val="股票认购方式"/>
              <w:tag w:val="_GBC_9655fcaae98c4749b579c929b144972c"/>
              <w:id w:val="-1538961923"/>
              <w:lock w:val="sdtLocked"/>
              <w:placeholder>
                <w:docPart w:val="GBC22222222222222222222222222222"/>
              </w:placeholder>
              <w:comboBox>
                <w:listItem w:displayText="网下" w:value="网下"/>
                <w:listItem w:displayText="网上" w:value="网上"/>
              </w:comboBox>
            </w:sdtPr>
            <w:sdtEndPr>
              <w:rPr>
                <w:rFonts w:hint="eastAsia" w:asciiTheme="minorEastAsia" w:hAnsiTheme="minorEastAsia"/>
                <w:szCs w:val="24"/>
              </w:rPr>
            </w:sdtEndPr>
            <w:sdtContent>
              <w:r>
                <w:rPr>
                  <w:rFonts w:hint="eastAsia" w:asciiTheme="minorEastAsia" w:hAnsiTheme="minorEastAsia"/>
                  <w:szCs w:val="24"/>
                </w:rPr>
                <w:t>网下</w:t>
              </w:r>
            </w:sdtContent>
          </w:sdt>
          <w:r>
            <w:rPr>
              <w:rFonts w:hint="eastAsia" w:asciiTheme="minorEastAsia" w:hAnsiTheme="minorEastAsia"/>
              <w:szCs w:val="24"/>
            </w:rPr>
            <w:t>，上市股数为</w:t>
          </w:r>
          <w:sdt>
            <w:sdtPr>
              <w:rPr>
                <w:rFonts w:hint="eastAsia" w:asciiTheme="minorEastAsia" w:hAnsiTheme="minorEastAsia"/>
                <w:szCs w:val="24"/>
              </w:rPr>
              <w:alias w:val="上市股数"/>
              <w:tag w:val="_GBC_586888b94dd747cfb51c31d725e99366"/>
              <w:id w:val="1157881268"/>
              <w:lock w:val="sdtLocked"/>
              <w:placeholder>
                <w:docPart w:val="GBC22222222222222222222222222222"/>
              </w:placeholder>
            </w:sdtPr>
            <w:sdtEndPr>
              <w:rPr>
                <w:rFonts w:hint="eastAsia" w:asciiTheme="minorEastAsia" w:hAnsiTheme="minorEastAsia"/>
                <w:szCs w:val="24"/>
              </w:rPr>
            </w:sdtEndPr>
            <w:sdtContent>
              <w:r>
                <w:rPr>
                  <w:rFonts w:asciiTheme="minorEastAsia" w:hAnsiTheme="minorEastAsia"/>
                  <w:szCs w:val="24"/>
                </w:rPr>
                <w:t>1,321,351</w:t>
              </w:r>
            </w:sdtContent>
          </w:sdt>
          <w:r>
            <w:rPr>
              <w:rFonts w:hint="eastAsia" w:asciiTheme="minorEastAsia" w:hAnsiTheme="minorEastAsia"/>
              <w:szCs w:val="24"/>
            </w:rPr>
            <w:t>股。</w:t>
          </w:r>
        </w:p>
      </w:sdtContent>
    </w:sdt>
    <w:sdt>
      <w:sdtPr>
        <w:rPr>
          <w:rFonts w:hint="eastAsia" w:asciiTheme="minorEastAsia" w:hAnsiTheme="minorEastAsia"/>
          <w:szCs w:val="24"/>
        </w:rPr>
        <w:alias w:val="模块:本次股票上市流通总数"/>
        <w:tag w:val="_SEC_aa6cbb3e26d8440b81ae392c6a790d80"/>
        <w:id w:val="-324358553"/>
        <w:lock w:val="sdtLocked"/>
        <w:placeholder>
          <w:docPart w:val="GBC22222222222222222222222222222"/>
        </w:placeholder>
      </w:sdtPr>
      <w:sdtEndPr>
        <w:rPr>
          <w:rFonts w:hint="eastAsia" w:asciiTheme="minorEastAsia" w:hAnsiTheme="minorEastAsia"/>
          <w:szCs w:val="24"/>
        </w:rPr>
      </w:sdtEndPr>
      <w:sdtContent>
        <w:p>
          <w:pPr>
            <w:adjustRightInd w:val="0"/>
            <w:snapToGrid w:val="0"/>
            <w:spacing w:line="360" w:lineRule="auto"/>
            <w:ind w:left="560"/>
            <w:rPr>
              <w:rFonts w:asciiTheme="minorEastAsia" w:hAnsiTheme="minorEastAsia"/>
              <w:szCs w:val="24"/>
            </w:rPr>
          </w:pPr>
          <w:r>
            <w:rPr>
              <w:rFonts w:hint="eastAsia" w:asciiTheme="minorEastAsia" w:hAnsiTheme="minorEastAsia"/>
              <w:szCs w:val="24"/>
            </w:rPr>
            <w:t>本次股票上市流通总数为</w:t>
          </w:r>
          <w:sdt>
            <w:sdtPr>
              <w:rPr>
                <w:rFonts w:hint="eastAsia" w:asciiTheme="minorEastAsia" w:hAnsiTheme="minorEastAsia"/>
                <w:szCs w:val="24"/>
              </w:rPr>
              <w:alias w:val="股票上市流通总数"/>
              <w:tag w:val="_GBC_1e2b45d78acb44ea90706152f652a13a"/>
              <w:id w:val="-1419161830"/>
              <w:lock w:val="sdtLocked"/>
              <w:placeholder>
                <w:docPart w:val="GBC22222222222222222222222222222"/>
              </w:placeholder>
            </w:sdtPr>
            <w:sdtEndPr>
              <w:rPr>
                <w:rFonts w:hint="eastAsia" w:asciiTheme="minorEastAsia" w:hAnsiTheme="minorEastAsia"/>
                <w:szCs w:val="24"/>
              </w:rPr>
            </w:sdtEndPr>
            <w:sdtContent>
              <w:r>
                <w:rPr>
                  <w:rFonts w:asciiTheme="minorEastAsia" w:hAnsiTheme="minorEastAsia"/>
                  <w:szCs w:val="24"/>
                </w:rPr>
                <w:t>1,321,351</w:t>
              </w:r>
            </w:sdtContent>
          </w:sdt>
          <w:r>
            <w:rPr>
              <w:rFonts w:hint="eastAsia" w:asciiTheme="minorEastAsia" w:hAnsiTheme="minorEastAsia"/>
              <w:szCs w:val="24"/>
            </w:rPr>
            <w:t>股。</w:t>
          </w:r>
        </w:p>
      </w:sdtContent>
    </w:sdt>
    <w:sdt>
      <w:sdtPr>
        <w:rPr>
          <w:rFonts w:hint="eastAsia" w:asciiTheme="minorEastAsia" w:hAnsiTheme="minorEastAsia"/>
          <w:szCs w:val="24"/>
        </w:rPr>
        <w:alias w:val="模块:本次股票上市流通日期"/>
        <w:tag w:val="_SEC_b0ab61e502194c8da2f28470fa0a0c8b"/>
        <w:id w:val="1690568238"/>
        <w:lock w:val="sdtLocked"/>
        <w:placeholder>
          <w:docPart w:val="GBC22222222222222222222222222222"/>
        </w:placeholder>
      </w:sdtPr>
      <w:sdtEndPr>
        <w:rPr>
          <w:rFonts w:hint="eastAsia" w:asciiTheme="minorEastAsia" w:hAnsiTheme="minorEastAsia"/>
          <w:szCs w:val="24"/>
        </w:rPr>
      </w:sdtEndPr>
      <w:sdtContent>
        <w:p>
          <w:pPr>
            <w:numPr>
              <w:ilvl w:val="0"/>
              <w:numId w:val="1"/>
            </w:numPr>
            <w:adjustRightInd w:val="0"/>
            <w:snapToGrid w:val="0"/>
            <w:spacing w:line="360" w:lineRule="auto"/>
            <w:ind w:left="0" w:firstLine="480" w:firstLineChars="200"/>
            <w:rPr>
              <w:rFonts w:asciiTheme="minorEastAsia" w:hAnsiTheme="minorEastAsia"/>
              <w:szCs w:val="24"/>
            </w:rPr>
          </w:pPr>
          <w:r>
            <w:rPr>
              <w:rFonts w:hint="eastAsia" w:asciiTheme="minorEastAsia" w:hAnsiTheme="minorEastAsia"/>
              <w:szCs w:val="24"/>
            </w:rPr>
            <w:t>本次股票上市流通日期为</w:t>
          </w:r>
          <w:sdt>
            <w:sdtPr>
              <w:rPr>
                <w:rFonts w:hint="eastAsia" w:asciiTheme="minorEastAsia" w:hAnsiTheme="minorEastAsia"/>
                <w:szCs w:val="24"/>
              </w:rPr>
              <w:alias w:val="股票上市流通日期"/>
              <w:tag w:val="_GBC_7b8cb92800c64ed9b06bd4a7bd82668f"/>
              <w:id w:val="68855147"/>
              <w:lock w:val="sdtLocked"/>
              <w:placeholder>
                <w:docPart w:val="GBC22222222222222222222222222222"/>
              </w:placeholder>
              <w:date w:fullDate="2024-05-20T00:00:00Z">
                <w:dateFormat w:val="yyyy'年'M'月'd'日'"/>
                <w:lid w:val="zh-CN"/>
                <w:storeMappedDataAs w:val="datetime"/>
                <w:calendar w:val="gregorian"/>
              </w:date>
            </w:sdtPr>
            <w:sdtEndPr>
              <w:rPr>
                <w:rFonts w:hint="eastAsia" w:asciiTheme="minorEastAsia" w:hAnsiTheme="minorEastAsia"/>
                <w:szCs w:val="24"/>
              </w:rPr>
            </w:sdtEndPr>
            <w:sdtContent>
              <w:r>
                <w:rPr>
                  <w:rFonts w:hint="eastAsia" w:asciiTheme="minorEastAsia" w:hAnsiTheme="minorEastAsia"/>
                  <w:szCs w:val="24"/>
                </w:rPr>
                <w:t>2024年5月20日</w:t>
              </w:r>
            </w:sdtContent>
          </w:sdt>
          <w:r>
            <w:rPr>
              <w:rFonts w:hint="eastAsia" w:asciiTheme="minorEastAsia" w:hAnsiTheme="minorEastAsia"/>
              <w:szCs w:val="24"/>
            </w:rPr>
            <w:t>。</w:t>
          </w:r>
        </w:p>
      </w:sdtContent>
    </w:sdt>
    <w:p/>
    <w:p>
      <w:pPr>
        <w:spacing w:line="360" w:lineRule="auto"/>
        <w:ind w:firstLine="480" w:firstLineChars="200"/>
        <w:rPr>
          <w:rFonts w:ascii="宋体" w:hAnsi="宋体"/>
          <w:szCs w:val="24"/>
        </w:rPr>
      </w:pPr>
      <w:r>
        <w:rPr>
          <w:rFonts w:hint="eastAsia" w:ascii="宋体" w:hAnsi="宋体"/>
          <w:szCs w:val="24"/>
        </w:rPr>
        <w:t>江苏吴中医药发展股份有限公司（以下简称“公司”）于2024年4月23日召开第十一届董事会第一次会议及第十一届监事会第一次会议，审议通过了《关于2021年限制性股票激励计划首次授予部分第二期及预留授予部分第一期解除限售条件成就的议案》。根据《江苏吴中医药发展股份有限公司2021年限制性股票激励计划》（以下简称“《激励计划》”、“本激励计划”或“本次激励计划”）的规定，本激励计划的限制性股票首次授予部分第二期及预留授予部分第一期解除限售条件已成就，现将有关情况公告如下：</w:t>
      </w:r>
    </w:p>
    <w:p>
      <w:pPr>
        <w:spacing w:line="360" w:lineRule="auto"/>
        <w:ind w:firstLine="482" w:firstLineChars="200"/>
        <w:rPr>
          <w:rFonts w:hint="eastAsia" w:ascii="宋体" w:hAnsi="宋体"/>
          <w:b/>
          <w:bCs/>
          <w:szCs w:val="24"/>
        </w:rPr>
      </w:pPr>
      <w:r>
        <w:rPr>
          <w:rFonts w:hint="eastAsia" w:ascii="宋体" w:hAnsi="宋体"/>
          <w:b/>
          <w:bCs/>
          <w:szCs w:val="24"/>
        </w:rPr>
        <w:t>一、本次激励计划已履行的相关程序及实施情况</w:t>
      </w:r>
    </w:p>
    <w:p>
      <w:pPr>
        <w:spacing w:line="360" w:lineRule="auto"/>
        <w:ind w:firstLine="480" w:firstLineChars="200"/>
        <w:rPr>
          <w:rFonts w:hint="eastAsia" w:ascii="宋体" w:hAnsi="宋体"/>
          <w:bCs/>
          <w:szCs w:val="24"/>
        </w:rPr>
      </w:pPr>
      <w:r>
        <w:rPr>
          <w:rFonts w:hint="eastAsia" w:ascii="宋体" w:hAnsi="宋体"/>
          <w:bCs/>
          <w:szCs w:val="24"/>
        </w:rPr>
        <w:t>（一）本次激励计划方案已履行的程序</w:t>
      </w:r>
    </w:p>
    <w:p>
      <w:pPr>
        <w:spacing w:line="360" w:lineRule="auto"/>
        <w:ind w:firstLine="480" w:firstLineChars="200"/>
        <w:rPr>
          <w:rFonts w:hint="eastAsia" w:ascii="宋体" w:hAnsi="宋体"/>
          <w:szCs w:val="24"/>
        </w:rPr>
      </w:pPr>
      <w:r>
        <w:rPr>
          <w:rFonts w:hint="eastAsia" w:ascii="宋体" w:hAnsi="宋体"/>
          <w:szCs w:val="24"/>
        </w:rPr>
        <w:t>1、2021年12月16日，公司召开了第十届董事会2021年第四次临时会议（通讯表决），审议通过了《关于&lt;江苏吴中医药发展股份有限公司2021年限制性股票激励计划（草案）&gt;及其摘要的议案》《关于&lt;江苏吴中医药发展股份有限公司2021年限制性股票激励计划实施考核管理办法&gt;的议案》《关于提请股东大会授权董事会办理公司股权激励计划相关事项的议案》等议案。公司独立董事就本激励计划是否有利于公司的持续发展及是否存在损害公司及全体股东利益的情形发表了独立意见。</w:t>
      </w:r>
    </w:p>
    <w:p>
      <w:pPr>
        <w:spacing w:line="360" w:lineRule="auto"/>
        <w:ind w:firstLine="480" w:firstLineChars="200"/>
        <w:rPr>
          <w:rFonts w:hint="eastAsia" w:ascii="宋体" w:hAnsi="宋体"/>
          <w:szCs w:val="24"/>
        </w:rPr>
      </w:pPr>
      <w:r>
        <w:rPr>
          <w:rFonts w:hint="eastAsia" w:ascii="宋体" w:hAnsi="宋体"/>
          <w:szCs w:val="24"/>
        </w:rPr>
        <w:t>同日，公司召开第十届监事会2021年第三次临时会议（通讯表决），审议通过了《关于&lt;江苏吴中医药发展股份有限公司2021年限制性股票激励计划（草案）&gt;及其摘要的议案》《关于&lt;江苏吴中医药发展股份有限公司2021年限制性股票激励计划实施考核管理办法&gt;的议案》等议案，公司监事会对本次激励计划的相关事项进行核实并出具了相关核查意见。</w:t>
      </w:r>
    </w:p>
    <w:p>
      <w:pPr>
        <w:spacing w:line="360" w:lineRule="auto"/>
        <w:ind w:firstLine="480" w:firstLineChars="200"/>
        <w:rPr>
          <w:rFonts w:hint="eastAsia" w:ascii="宋体" w:hAnsi="宋体"/>
          <w:szCs w:val="24"/>
        </w:rPr>
      </w:pPr>
      <w:r>
        <w:rPr>
          <w:rFonts w:hint="eastAsia" w:ascii="宋体" w:hAnsi="宋体"/>
          <w:szCs w:val="24"/>
        </w:rPr>
        <w:t>2、2021年12月17日至2021年12月27日，公司将本次拟首次授予激励对象的姓名及职务在公司内部予以公示。在公示期内，公司监事会未收到任何对本次拟首次授予激励对象提出的异议。2021年12月28日，公司披露了《江苏吴中医药发展股份有限公司监事会关于公司2021年限制性股票激励计划首次授予激励对象名单的公示情况说明及核查意见》。</w:t>
      </w:r>
    </w:p>
    <w:p>
      <w:pPr>
        <w:spacing w:line="360" w:lineRule="auto"/>
        <w:ind w:firstLine="480" w:firstLineChars="200"/>
        <w:rPr>
          <w:rFonts w:hint="eastAsia" w:ascii="宋体" w:hAnsi="宋体"/>
          <w:szCs w:val="24"/>
        </w:rPr>
      </w:pPr>
      <w:r>
        <w:rPr>
          <w:rFonts w:hint="eastAsia" w:ascii="宋体" w:hAnsi="宋体"/>
          <w:szCs w:val="24"/>
        </w:rPr>
        <w:t>3、2022年1月5日，公司召开2022年第一次临时股东大会,审议通过了《关于&lt;江苏吴中医药发展股份有限公司2021年限制性股票激励计划（草案）&gt;及其摘要的议案》《关于&lt;江苏吴中医药发展股份有限公司2021年限制性股票激励计划实施考核管理办法&gt;的议案》《关于提请股东大会授权董事会办理公司股权激励计划相关事项的议案》等议案。2022年1月6日，公司披露了《江苏吴中医药发展股份有限公司关于2021年限制性股票激励计划内幕信息知情人买卖公司股票情况的自查报告》，未发现本次激励计划的内幕信息知情人存在利用本次激励计划相关内幕信息买卖公司股票的行为或泄露本激励计划有关内幕信息导致内幕交易发生的情形。</w:t>
      </w:r>
    </w:p>
    <w:p>
      <w:pPr>
        <w:spacing w:line="360" w:lineRule="auto"/>
        <w:ind w:firstLine="480" w:firstLineChars="200"/>
        <w:rPr>
          <w:rFonts w:hint="eastAsia" w:ascii="宋体" w:hAnsi="宋体"/>
          <w:szCs w:val="24"/>
        </w:rPr>
      </w:pPr>
      <w:r>
        <w:rPr>
          <w:rFonts w:hint="eastAsia" w:ascii="宋体" w:hAnsi="宋体"/>
          <w:szCs w:val="24"/>
        </w:rPr>
        <w:t>4、2022年2月16日，公司召开第十届董事会2022年第二次临时会议（通讯表决）及第十届监事会2022年第一次临时会议（通讯表决），审议通过了《关于调整公司2021年限制性股票激励计划首次授予激励对象名单及授予数量的议案》《关于向公司2021年限制性股票激励计划激励对象首次授予限制性股票的议案》。同意公司本激励计划拟首次授予的激励对象人数由143人调整为110人，首次授予限制性股票数量由374.0000万股调整为331.9000万股；预留授予限制性股票由38.4303万股调整为80.5303万股，本激励计划拟授予的限制性股票总数不变。公司董事会认为本次激励计划规定的限制性股票的首次授予条件已经成就，同意确定以2022年2月16日为限制性股票首次授予日，向符合条件的110名激励对象授予331.9000万股限制性股票，授予价格为3.68元/股。公司监事会对调整后的激励对象名单再次进行了核实并发表了明确同意的意见。公司独立董事对此发表了同意的独立意见。</w:t>
      </w:r>
    </w:p>
    <w:p>
      <w:pPr>
        <w:spacing w:line="360" w:lineRule="auto"/>
        <w:ind w:firstLine="480" w:firstLineChars="200"/>
        <w:rPr>
          <w:rFonts w:hint="eastAsia" w:ascii="宋体" w:hAnsi="宋体"/>
          <w:szCs w:val="24"/>
        </w:rPr>
      </w:pPr>
      <w:r>
        <w:rPr>
          <w:rFonts w:hint="eastAsia" w:ascii="宋体" w:hAnsi="宋体"/>
          <w:szCs w:val="24"/>
        </w:rPr>
        <w:t>5、2022年3月14日，公司收到中国证券登记结算有限责任公司上海分公司出具的《证券变更登记证明》及《过户登记确认书》，本激励计划首次授予登记完成，限制性股票首次登记日为2022年3月14日。在确定首次授予日后的登记过程中，首次授予激励对象中有1名激励对象自愿放弃拟授予其的全部限制性股票共计15,000股。因此，本激励计划首次实际授予的激励对象为109人，首次实际授予数量为330.4000万股。2022年3月16日，公司在上海证券交易所网站披露了《江苏吴中医药发展股份有限公司2021年限制性股票激励计划首次授予结果的公告》。</w:t>
      </w:r>
    </w:p>
    <w:p>
      <w:pPr>
        <w:spacing w:line="360" w:lineRule="auto"/>
        <w:ind w:firstLine="480" w:firstLineChars="200"/>
        <w:rPr>
          <w:rFonts w:hint="eastAsia" w:ascii="宋体" w:hAnsi="宋体"/>
          <w:szCs w:val="24"/>
        </w:rPr>
      </w:pPr>
      <w:r>
        <w:rPr>
          <w:rFonts w:hint="eastAsia" w:ascii="宋体" w:hAnsi="宋体"/>
          <w:szCs w:val="24"/>
        </w:rPr>
        <w:t>6、2022年10月28日，公司召开第十届董事会第六次会议（通讯表决）和第十届监事会第六次会议（通讯表决），审议通过了《公司关于向激励对象授予2021年限制性股票激励计划预留部分限制性股票的议案》。公司董事会认为本激励计划规定的预留部分限制性股票的授予条件已经成就，同意确定以2022年10月31日为预留部分限制性股票的授予日，向符合条件的17名激励对象授予80.5303万股限制性股票，预留授予价格为3.49元/股。公司独立董事对此发表了同意的独立意见。监事会对预留授予日的激励对象名单进行了核实并发表了核查意见。律师出具了相应的法律意见书。</w:t>
      </w:r>
    </w:p>
    <w:p>
      <w:pPr>
        <w:spacing w:line="360" w:lineRule="auto"/>
        <w:ind w:firstLine="480" w:firstLineChars="200"/>
        <w:rPr>
          <w:rFonts w:hint="eastAsia" w:ascii="宋体" w:hAnsi="宋体"/>
          <w:szCs w:val="24"/>
        </w:rPr>
      </w:pPr>
      <w:r>
        <w:rPr>
          <w:rFonts w:hint="eastAsia" w:ascii="宋体" w:hAnsi="宋体"/>
          <w:szCs w:val="24"/>
        </w:rPr>
        <w:t>同日，公司召开第十届董事会第六次会议（通讯表决）和第十届监事会第六次会议（通讯表决）审议通过了《公司关于回购注销部分限制性股票的议案》。由于4名首次授予激励对象离职，已不符合激励对象资格，根据本次激励计划的规定，公司拟对其已获授但尚未解除限售的50,000股限制性股票予以回购注销。公司独立董事和监事会对相关事项发表了同意意见。</w:t>
      </w:r>
    </w:p>
    <w:p>
      <w:pPr>
        <w:spacing w:line="360" w:lineRule="auto"/>
        <w:ind w:firstLine="480" w:firstLineChars="200"/>
        <w:rPr>
          <w:rFonts w:hint="eastAsia" w:ascii="宋体" w:hAnsi="宋体"/>
          <w:szCs w:val="24"/>
        </w:rPr>
      </w:pPr>
      <w:r>
        <w:rPr>
          <w:rFonts w:hint="eastAsia" w:ascii="宋体" w:hAnsi="宋体"/>
          <w:szCs w:val="24"/>
        </w:rPr>
        <w:t>7、2022年11月14日，公司召开2022年第四次临时股东大会审议通过了《公司关于回购注销部分限制性股票的议案》，本次回购的限制性股票已于2023年1月12日完成注销。</w:t>
      </w:r>
    </w:p>
    <w:p>
      <w:pPr>
        <w:spacing w:line="360" w:lineRule="auto"/>
        <w:ind w:firstLine="480" w:firstLineChars="200"/>
        <w:rPr>
          <w:rFonts w:hint="eastAsia" w:ascii="宋体" w:hAnsi="宋体"/>
          <w:szCs w:val="24"/>
        </w:rPr>
      </w:pPr>
      <w:r>
        <w:rPr>
          <w:rFonts w:hint="eastAsia" w:ascii="宋体" w:hAnsi="宋体"/>
          <w:szCs w:val="24"/>
        </w:rPr>
        <w:t>8、2023年4月25日，公司召开第十届董事会第七次会议及第十届监事会第七次会议，审议通过《关于2021年限制性股票激励计划首次授予部分第一个解除限售期解除限售条件成就的议案》《关于回购注销部分限制性股票的议案》等议案，公司独立董事对此发表了同意的独立意见。</w:t>
      </w:r>
    </w:p>
    <w:p>
      <w:pPr>
        <w:spacing w:line="360" w:lineRule="auto"/>
        <w:ind w:firstLine="480" w:firstLineChars="200"/>
        <w:rPr>
          <w:rFonts w:hint="eastAsia" w:ascii="宋体" w:hAnsi="宋体"/>
          <w:szCs w:val="24"/>
        </w:rPr>
      </w:pPr>
      <w:r>
        <w:rPr>
          <w:rFonts w:hint="eastAsia" w:ascii="宋体" w:hAnsi="宋体"/>
          <w:szCs w:val="24"/>
        </w:rPr>
        <w:t>9、2024年4月23日，公司召开第十一届董事会第一次会议及第十一届监事会第一次会议，审议通过《公司关于2021年限制性股票激励计划首次授予部分第二期及预留授予部分第一期解除限售条件成就的议案》，公司董事会薪酬与考核委员会对此发表了同意意见。</w:t>
      </w:r>
    </w:p>
    <w:p>
      <w:pPr>
        <w:spacing w:line="360" w:lineRule="auto"/>
        <w:ind w:firstLine="480" w:firstLineChars="200"/>
        <w:rPr>
          <w:rFonts w:hint="eastAsia" w:ascii="宋体" w:hAnsi="宋体"/>
          <w:bCs/>
          <w:szCs w:val="24"/>
        </w:rPr>
      </w:pPr>
      <w:r>
        <w:rPr>
          <w:rFonts w:hint="eastAsia" w:ascii="宋体" w:hAnsi="宋体"/>
          <w:bCs/>
          <w:szCs w:val="24"/>
        </w:rPr>
        <w:t>（二）本激励计划授予情况</w:t>
      </w:r>
    </w:p>
    <w:tbl>
      <w:tblPr>
        <w:tblStyle w:val="12"/>
        <w:tblW w:w="8497" w:type="dxa"/>
        <w:tblInd w:w="1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24"/>
        <w:gridCol w:w="2336"/>
        <w:gridCol w:w="1821"/>
        <w:gridCol w:w="1655"/>
        <w:gridCol w:w="136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39" w:hRule="atLeast"/>
        </w:trPr>
        <w:tc>
          <w:tcPr>
            <w:tcW w:w="132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b/>
                <w:bCs/>
                <w:sz w:val="21"/>
                <w:szCs w:val="21"/>
              </w:rPr>
            </w:pPr>
            <w:r>
              <w:rPr>
                <w:rFonts w:hint="eastAsia" w:ascii="宋体" w:hAnsi="宋体"/>
                <w:b/>
                <w:bCs/>
              </w:rPr>
              <w:t>授予批次</w:t>
            </w:r>
          </w:p>
        </w:tc>
        <w:tc>
          <w:tcPr>
            <w:tcW w:w="2336"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b/>
                <w:bCs/>
              </w:rPr>
            </w:pPr>
            <w:r>
              <w:rPr>
                <w:rFonts w:hint="eastAsia" w:ascii="宋体" w:hAnsi="宋体"/>
                <w:b/>
                <w:bCs/>
                <w:color w:val="000000"/>
                <w:kern w:val="0"/>
              </w:rPr>
              <w:t>授予日期</w:t>
            </w:r>
          </w:p>
        </w:tc>
        <w:tc>
          <w:tcPr>
            <w:tcW w:w="1821"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b/>
                <w:bCs/>
              </w:rPr>
            </w:pPr>
            <w:r>
              <w:rPr>
                <w:rFonts w:hint="eastAsia" w:ascii="宋体" w:hAnsi="宋体"/>
                <w:b/>
                <w:bCs/>
                <w:color w:val="000000"/>
                <w:kern w:val="0"/>
              </w:rPr>
              <w:t>授予价格</w:t>
            </w:r>
          </w:p>
        </w:tc>
        <w:tc>
          <w:tcPr>
            <w:tcW w:w="1655"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b/>
                <w:bCs/>
              </w:rPr>
            </w:pPr>
            <w:r>
              <w:rPr>
                <w:rFonts w:hint="eastAsia" w:ascii="宋体" w:hAnsi="宋体"/>
                <w:b/>
                <w:bCs/>
                <w:color w:val="000000"/>
                <w:kern w:val="0"/>
              </w:rPr>
              <w:t>授予股票数量（万股）</w:t>
            </w:r>
          </w:p>
        </w:tc>
        <w:tc>
          <w:tcPr>
            <w:tcW w:w="1361"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b/>
                <w:bCs/>
              </w:rPr>
            </w:pPr>
            <w:r>
              <w:rPr>
                <w:rFonts w:hint="eastAsia" w:ascii="宋体" w:hAnsi="宋体"/>
                <w:b/>
                <w:bCs/>
                <w:color w:val="000000"/>
                <w:kern w:val="0"/>
              </w:rPr>
              <w:t>授予激励</w:t>
            </w:r>
          </w:p>
          <w:p>
            <w:pPr>
              <w:widowControl/>
              <w:jc w:val="center"/>
              <w:rPr>
                <w:rFonts w:hint="eastAsia" w:ascii="宋体" w:hAnsi="宋体"/>
                <w:b/>
                <w:bCs/>
              </w:rPr>
            </w:pPr>
            <w:r>
              <w:rPr>
                <w:rFonts w:hint="eastAsia" w:ascii="宋体" w:hAnsi="宋体"/>
                <w:b/>
                <w:bCs/>
                <w:color w:val="000000"/>
                <w:kern w:val="0"/>
              </w:rPr>
              <w:t>对象人数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82" w:hRule="atLeast"/>
        </w:trPr>
        <w:tc>
          <w:tcPr>
            <w:tcW w:w="132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rPr>
            </w:pPr>
            <w:r>
              <w:rPr>
                <w:rFonts w:hint="eastAsia" w:ascii="宋体" w:hAnsi="宋体"/>
              </w:rPr>
              <w:t>首次授予</w:t>
            </w:r>
          </w:p>
        </w:tc>
        <w:tc>
          <w:tcPr>
            <w:tcW w:w="23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rPr>
            </w:pPr>
            <w:r>
              <w:rPr>
                <w:rFonts w:hint="eastAsia" w:ascii="宋体" w:hAnsi="宋体"/>
              </w:rPr>
              <w:t>2022年2月16日</w:t>
            </w:r>
          </w:p>
        </w:tc>
        <w:tc>
          <w:tcPr>
            <w:tcW w:w="182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b/>
                <w:bCs/>
              </w:rPr>
            </w:pPr>
            <w:r>
              <w:rPr>
                <w:rFonts w:hint="eastAsia" w:ascii="宋体" w:hAnsi="宋体"/>
                <w:bCs/>
              </w:rPr>
              <w:t>3.68元/股</w:t>
            </w:r>
          </w:p>
        </w:tc>
        <w:tc>
          <w:tcPr>
            <w:tcW w:w="165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b/>
                <w:bCs/>
              </w:rPr>
            </w:pPr>
            <w:r>
              <w:rPr>
                <w:rFonts w:hint="eastAsia" w:ascii="宋体" w:hAnsi="宋体"/>
                <w:bCs/>
              </w:rPr>
              <w:t>331.9000</w:t>
            </w:r>
          </w:p>
        </w:tc>
        <w:tc>
          <w:tcPr>
            <w:tcW w:w="13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rPr>
            </w:pPr>
            <w:r>
              <w:rPr>
                <w:rFonts w:hint="eastAsia" w:ascii="宋体" w:hAnsi="宋体"/>
              </w:rPr>
              <w:t>110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2" w:hRule="atLeast"/>
        </w:trPr>
        <w:tc>
          <w:tcPr>
            <w:tcW w:w="132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rPr>
            </w:pPr>
            <w:r>
              <w:rPr>
                <w:rFonts w:hint="eastAsia" w:ascii="宋体" w:hAnsi="宋体"/>
              </w:rPr>
              <w:t>预留授予</w:t>
            </w:r>
          </w:p>
        </w:tc>
        <w:tc>
          <w:tcPr>
            <w:tcW w:w="23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rPr>
            </w:pPr>
            <w:r>
              <w:rPr>
                <w:rFonts w:hint="eastAsia" w:ascii="宋体" w:hAnsi="宋体"/>
              </w:rPr>
              <w:t>2022年10月31日</w:t>
            </w:r>
          </w:p>
        </w:tc>
        <w:tc>
          <w:tcPr>
            <w:tcW w:w="182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bCs/>
              </w:rPr>
            </w:pPr>
            <w:r>
              <w:rPr>
                <w:rFonts w:hint="eastAsia" w:ascii="宋体" w:hAnsi="宋体"/>
                <w:bCs/>
              </w:rPr>
              <w:t>3.49元/股</w:t>
            </w:r>
          </w:p>
        </w:tc>
        <w:tc>
          <w:tcPr>
            <w:tcW w:w="165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bCs/>
              </w:rPr>
            </w:pPr>
            <w:r>
              <w:rPr>
                <w:rFonts w:hint="eastAsia" w:ascii="宋体" w:hAnsi="宋体"/>
                <w:bCs/>
              </w:rPr>
              <w:t>80.5303</w:t>
            </w:r>
          </w:p>
        </w:tc>
        <w:tc>
          <w:tcPr>
            <w:tcW w:w="13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rPr>
            </w:pPr>
            <w:r>
              <w:rPr>
                <w:rFonts w:hint="eastAsia" w:ascii="宋体" w:hAnsi="宋体"/>
              </w:rPr>
              <w:t>17</w:t>
            </w:r>
          </w:p>
        </w:tc>
      </w:tr>
    </w:tbl>
    <w:p>
      <w:pPr>
        <w:spacing w:line="360" w:lineRule="auto"/>
        <w:ind w:firstLine="480" w:firstLineChars="200"/>
        <w:rPr>
          <w:rFonts w:hint="eastAsia" w:ascii="宋体" w:hAnsi="宋体" w:cs="Times New Roman"/>
          <w:sz w:val="21"/>
          <w:szCs w:val="21"/>
        </w:rPr>
      </w:pPr>
      <w:r>
        <w:rPr>
          <w:rFonts w:hint="eastAsia" w:ascii="宋体" w:hAnsi="宋体"/>
        </w:rPr>
        <w:t>注：在确定首次授予日后的登记过程中，首次授予激励对象中有1名激励对象自愿放弃拟授予其的全部限制性股票共计15,000股。因此，本激励计划首次实际授予的激励对象为109人，首次实际授予数量为330.4000万股。</w:t>
      </w:r>
    </w:p>
    <w:p>
      <w:pPr>
        <w:spacing w:line="360" w:lineRule="auto"/>
        <w:ind w:firstLine="480" w:firstLineChars="200"/>
        <w:rPr>
          <w:rFonts w:hint="eastAsia" w:ascii="宋体" w:hAnsi="宋体"/>
          <w:szCs w:val="24"/>
        </w:rPr>
      </w:pPr>
      <w:r>
        <w:rPr>
          <w:rFonts w:hint="eastAsia" w:ascii="宋体" w:hAnsi="宋体"/>
          <w:szCs w:val="24"/>
        </w:rPr>
        <w:t>（三）历次限制性股票解锁情况</w:t>
      </w:r>
    </w:p>
    <w:p>
      <w:pPr>
        <w:spacing w:line="360" w:lineRule="auto"/>
        <w:ind w:firstLine="480" w:firstLineChars="200"/>
        <w:rPr>
          <w:rFonts w:hint="eastAsia" w:ascii="宋体" w:hAnsi="宋体"/>
          <w:szCs w:val="24"/>
        </w:rPr>
      </w:pPr>
      <w:r>
        <w:rPr>
          <w:rFonts w:hint="eastAsia" w:ascii="宋体" w:hAnsi="宋体"/>
          <w:szCs w:val="24"/>
        </w:rPr>
        <w:t>公司于2023年5月13日披露了《关于2021年限制性股票激励计划首次授予部分第一个解除限售期解除限售暨上市公告》，公司2021年限制性股票激励计划首次授予的限制性股票1,293,600股于2023年5月18日上市流通。</w:t>
      </w:r>
    </w:p>
    <w:p>
      <w:pPr>
        <w:spacing w:line="360" w:lineRule="auto"/>
        <w:ind w:firstLine="480" w:firstLineChars="200"/>
        <w:rPr>
          <w:rFonts w:hint="eastAsia" w:ascii="宋体" w:hAnsi="宋体"/>
          <w:b/>
          <w:bCs/>
          <w:szCs w:val="24"/>
        </w:rPr>
      </w:pPr>
      <w:r>
        <w:rPr>
          <w:rFonts w:hint="eastAsia" w:ascii="宋体" w:hAnsi="宋体"/>
          <w:szCs w:val="24"/>
        </w:rPr>
        <w:t>本次解锁为公司2021年限制性股票激励计划首次授予部分第二期及预留授予部分第一期解锁。</w:t>
      </w:r>
    </w:p>
    <w:p>
      <w:pPr>
        <w:spacing w:line="360" w:lineRule="auto"/>
        <w:ind w:firstLine="482" w:firstLineChars="200"/>
        <w:rPr>
          <w:rFonts w:hint="eastAsia" w:ascii="宋体" w:hAnsi="宋体"/>
          <w:b/>
          <w:bCs/>
          <w:szCs w:val="24"/>
        </w:rPr>
      </w:pPr>
      <w:r>
        <w:rPr>
          <w:rFonts w:hint="eastAsia" w:ascii="宋体" w:hAnsi="宋体"/>
          <w:b/>
          <w:bCs/>
          <w:szCs w:val="24"/>
        </w:rPr>
        <w:t>二、2021年限制性股票激励计划首次授予部分第二个限售期及预留授予部分第一个限售期解除限售条件成就情况</w:t>
      </w:r>
    </w:p>
    <w:p>
      <w:pPr>
        <w:spacing w:line="360" w:lineRule="auto"/>
        <w:ind w:firstLine="482" w:firstLineChars="200"/>
        <w:rPr>
          <w:rFonts w:hint="eastAsia" w:ascii="宋体" w:hAnsi="宋体"/>
          <w:b/>
          <w:bCs/>
          <w:szCs w:val="24"/>
        </w:rPr>
      </w:pPr>
      <w:r>
        <w:rPr>
          <w:rFonts w:hint="eastAsia" w:ascii="宋体" w:hAnsi="宋体"/>
          <w:b/>
          <w:bCs/>
          <w:szCs w:val="24"/>
        </w:rPr>
        <w:t>（一）首次授予部分第二个限售期及预留授予部分第一个限售期解除限售的时间说明</w:t>
      </w:r>
    </w:p>
    <w:p>
      <w:pPr>
        <w:spacing w:line="360" w:lineRule="auto"/>
        <w:ind w:firstLine="480" w:firstLineChars="200"/>
        <w:rPr>
          <w:rFonts w:hint="eastAsia" w:ascii="宋体" w:hAnsi="宋体"/>
          <w:szCs w:val="24"/>
        </w:rPr>
      </w:pPr>
      <w:r>
        <w:rPr>
          <w:rFonts w:hint="eastAsia" w:ascii="宋体" w:hAnsi="宋体"/>
          <w:szCs w:val="24"/>
        </w:rPr>
        <w:t>根据本次激励计划的规定，公司首次授予的限制性股票第二个解除限售期为自首次授予部分限制性股票授予日起24个月后的首个交易日起至首次授予部分限制性股票授予日起36个月内的最后一个交易日当日止，解除限售比例为首次授予的限制性股票总数的30%。本次激励计划限制性股票首次授予的授予日为2022年2月16日，因此本次激励计划首次授予的限制性股票第二个限售期已于</w:t>
      </w:r>
      <w:r>
        <w:rPr>
          <w:rFonts w:hint="eastAsia" w:ascii="宋体" w:hAnsi="宋体"/>
          <w:bCs/>
          <w:szCs w:val="24"/>
        </w:rPr>
        <w:t>2024年2月15日</w:t>
      </w:r>
      <w:r>
        <w:rPr>
          <w:rFonts w:hint="eastAsia" w:ascii="宋体" w:hAnsi="宋体"/>
          <w:szCs w:val="24"/>
        </w:rPr>
        <w:t>届满。</w:t>
      </w:r>
    </w:p>
    <w:p>
      <w:pPr>
        <w:spacing w:line="360" w:lineRule="auto"/>
        <w:ind w:firstLine="480" w:firstLineChars="200"/>
        <w:rPr>
          <w:rFonts w:hint="eastAsia" w:ascii="宋体" w:hAnsi="宋体"/>
          <w:szCs w:val="24"/>
        </w:rPr>
      </w:pPr>
      <w:r>
        <w:rPr>
          <w:rFonts w:hint="eastAsia" w:ascii="宋体" w:hAnsi="宋体"/>
          <w:szCs w:val="24"/>
        </w:rPr>
        <w:t>预留授予限制性股票第一个解除限售期自预留授予部分限制性股票授予日起12个月后的首个交易日起至预留授予部分限制性股票授予日起24个月内的最后一个交易日当日止，解除限售比例为预留授予的限制性股票总数的50%。本次激励计划预留授予日为2022年10月31日，预留授予限制性股票第一个限售期已于2023年10月30日届满。</w:t>
      </w:r>
    </w:p>
    <w:p>
      <w:pPr>
        <w:spacing w:line="360" w:lineRule="auto"/>
        <w:ind w:firstLine="482" w:firstLineChars="200"/>
        <w:rPr>
          <w:rFonts w:hint="eastAsia" w:ascii="宋体" w:hAnsi="宋体"/>
          <w:b/>
          <w:bCs/>
          <w:szCs w:val="24"/>
        </w:rPr>
      </w:pPr>
      <w:r>
        <w:rPr>
          <w:rFonts w:hint="eastAsia" w:ascii="宋体" w:hAnsi="宋体"/>
          <w:b/>
          <w:bCs/>
          <w:szCs w:val="24"/>
        </w:rPr>
        <w:t>（二）首次授予部分第二个解除限售期及预留授予部分第一个解除限售期解除限售条件成就的说明</w:t>
      </w:r>
    </w:p>
    <w:p>
      <w:pPr>
        <w:spacing w:line="360" w:lineRule="auto"/>
        <w:ind w:firstLine="480" w:firstLineChars="200"/>
        <w:rPr>
          <w:rFonts w:hint="eastAsia" w:ascii="宋体" w:hAnsi="宋体"/>
          <w:szCs w:val="24"/>
        </w:rPr>
      </w:pPr>
      <w:r>
        <w:rPr>
          <w:rFonts w:hint="eastAsia" w:ascii="宋体" w:hAnsi="宋体"/>
          <w:szCs w:val="24"/>
        </w:rPr>
        <w:t>解除限售期内，同时满足下列条件时，激励对象获授的限制性股票方可解除限售：</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771"/>
        <w:gridCol w:w="175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6771" w:type="dxa"/>
            <w:tcBorders>
              <w:top w:val="single" w:color="auto" w:sz="8" w:space="0"/>
              <w:left w:val="single" w:color="auto" w:sz="8" w:space="0"/>
              <w:bottom w:val="single" w:color="auto" w:sz="8" w:space="0"/>
              <w:right w:val="single" w:color="auto" w:sz="8" w:space="0"/>
            </w:tcBorders>
            <w:vAlign w:val="center"/>
          </w:tcPr>
          <w:p>
            <w:pPr>
              <w:jc w:val="center"/>
              <w:rPr>
                <w:rFonts w:hint="eastAsia" w:ascii="Times New Roman" w:hAnsi="Times New Roman"/>
                <w:b/>
                <w:bCs/>
                <w:sz w:val="21"/>
                <w:szCs w:val="21"/>
              </w:rPr>
            </w:pPr>
            <w:r>
              <w:rPr>
                <w:rFonts w:hint="eastAsia" w:ascii="宋体" w:hAnsi="宋体"/>
                <w:b/>
                <w:bCs/>
                <w:sz w:val="21"/>
                <w:szCs w:val="21"/>
              </w:rPr>
              <w:t>首次授予部分第二个解除限售期及预留授予部分第一个解除限售期解除限售条件</w:t>
            </w:r>
          </w:p>
        </w:tc>
        <w:tc>
          <w:tcPr>
            <w:tcW w:w="1751" w:type="dxa"/>
            <w:tcBorders>
              <w:top w:val="single" w:color="auto" w:sz="8" w:space="0"/>
              <w:left w:val="single" w:color="auto" w:sz="8" w:space="0"/>
              <w:bottom w:val="single" w:color="auto" w:sz="8" w:space="0"/>
              <w:right w:val="single" w:color="auto" w:sz="8" w:space="0"/>
            </w:tcBorders>
            <w:vAlign w:val="center"/>
          </w:tcPr>
          <w:p>
            <w:pPr>
              <w:jc w:val="center"/>
              <w:rPr>
                <w:b/>
                <w:bCs/>
                <w:sz w:val="21"/>
                <w:szCs w:val="21"/>
              </w:rPr>
            </w:pPr>
            <w:r>
              <w:rPr>
                <w:rFonts w:hint="eastAsia" w:ascii="宋体" w:hAnsi="宋体"/>
                <w:b/>
                <w:bCs/>
                <w:sz w:val="21"/>
                <w:szCs w:val="21"/>
              </w:rPr>
              <w:t>是否达到解除限售条件的说明</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6771" w:type="dxa"/>
            <w:tcBorders>
              <w:top w:val="single" w:color="auto" w:sz="8" w:space="0"/>
              <w:left w:val="single" w:color="auto" w:sz="8" w:space="0"/>
              <w:bottom w:val="single" w:color="auto" w:sz="8" w:space="0"/>
              <w:right w:val="single" w:color="auto" w:sz="8" w:space="0"/>
            </w:tcBorders>
          </w:tcPr>
          <w:p>
            <w:pPr>
              <w:rPr>
                <w:b/>
                <w:bCs/>
                <w:sz w:val="21"/>
                <w:szCs w:val="21"/>
              </w:rPr>
            </w:pPr>
            <w:r>
              <w:rPr>
                <w:b/>
                <w:bCs/>
                <w:sz w:val="21"/>
                <w:szCs w:val="21"/>
              </w:rPr>
              <w:t>1.</w:t>
            </w:r>
            <w:r>
              <w:rPr>
                <w:rFonts w:hint="eastAsia" w:ascii="宋体" w:hAnsi="宋体"/>
                <w:b/>
                <w:bCs/>
                <w:sz w:val="21"/>
                <w:szCs w:val="21"/>
              </w:rPr>
              <w:t>公司未发生如下任一情形：</w:t>
            </w:r>
          </w:p>
          <w:p>
            <w:pPr>
              <w:rPr>
                <w:sz w:val="21"/>
                <w:szCs w:val="21"/>
              </w:rPr>
            </w:pPr>
            <w:r>
              <w:rPr>
                <w:rFonts w:hint="eastAsia" w:ascii="宋体" w:hAnsi="宋体"/>
                <w:sz w:val="21"/>
                <w:szCs w:val="21"/>
              </w:rPr>
              <w:t>（</w:t>
            </w:r>
            <w:r>
              <w:rPr>
                <w:sz w:val="21"/>
                <w:szCs w:val="21"/>
              </w:rPr>
              <w:t>1</w:t>
            </w:r>
            <w:r>
              <w:rPr>
                <w:rFonts w:hint="eastAsia" w:ascii="宋体" w:hAnsi="宋体"/>
                <w:sz w:val="21"/>
                <w:szCs w:val="21"/>
              </w:rPr>
              <w:t>）最近一个会计年度财务会计报告被注册会计师出具否定意见或者无法表示意见的审计报告；</w:t>
            </w:r>
          </w:p>
          <w:p>
            <w:pPr>
              <w:rPr>
                <w:sz w:val="21"/>
                <w:szCs w:val="21"/>
              </w:rPr>
            </w:pPr>
            <w:r>
              <w:rPr>
                <w:rFonts w:hint="eastAsia" w:ascii="宋体" w:hAnsi="宋体"/>
                <w:sz w:val="21"/>
                <w:szCs w:val="21"/>
              </w:rPr>
              <w:t>（</w:t>
            </w:r>
            <w:r>
              <w:rPr>
                <w:sz w:val="21"/>
                <w:szCs w:val="21"/>
              </w:rPr>
              <w:t>2</w:t>
            </w:r>
            <w:r>
              <w:rPr>
                <w:rFonts w:hint="eastAsia" w:ascii="宋体" w:hAnsi="宋体"/>
                <w:sz w:val="21"/>
                <w:szCs w:val="21"/>
              </w:rPr>
              <w:t>）最近一个会计年度财务报告内部控制被注册会计师出具否定意见或无法表示意见的审计报告；</w:t>
            </w:r>
          </w:p>
          <w:p>
            <w:pPr>
              <w:rPr>
                <w:sz w:val="21"/>
                <w:szCs w:val="21"/>
              </w:rPr>
            </w:pPr>
            <w:r>
              <w:rPr>
                <w:rFonts w:hint="eastAsia" w:ascii="宋体" w:hAnsi="宋体"/>
                <w:sz w:val="21"/>
                <w:szCs w:val="21"/>
              </w:rPr>
              <w:t>（</w:t>
            </w:r>
            <w:r>
              <w:rPr>
                <w:sz w:val="21"/>
                <w:szCs w:val="21"/>
              </w:rPr>
              <w:t>3</w:t>
            </w:r>
            <w:r>
              <w:rPr>
                <w:rFonts w:hint="eastAsia" w:ascii="宋体" w:hAnsi="宋体"/>
                <w:sz w:val="21"/>
                <w:szCs w:val="21"/>
              </w:rPr>
              <w:t>）上市后最近</w:t>
            </w:r>
            <w:r>
              <w:rPr>
                <w:sz w:val="21"/>
                <w:szCs w:val="21"/>
              </w:rPr>
              <w:t>36</w:t>
            </w:r>
            <w:r>
              <w:rPr>
                <w:rFonts w:hint="eastAsia" w:ascii="宋体" w:hAnsi="宋体"/>
                <w:sz w:val="21"/>
                <w:szCs w:val="21"/>
              </w:rPr>
              <w:t>个月内出现过未按法律法规、《公司章程》、公开承诺进行利润分配的情形；</w:t>
            </w:r>
          </w:p>
          <w:p>
            <w:pPr>
              <w:rPr>
                <w:sz w:val="21"/>
                <w:szCs w:val="21"/>
              </w:rPr>
            </w:pPr>
            <w:r>
              <w:rPr>
                <w:rFonts w:hint="eastAsia" w:ascii="宋体" w:hAnsi="宋体"/>
                <w:sz w:val="21"/>
                <w:szCs w:val="21"/>
              </w:rPr>
              <w:t>（</w:t>
            </w:r>
            <w:r>
              <w:rPr>
                <w:sz w:val="21"/>
                <w:szCs w:val="21"/>
              </w:rPr>
              <w:t>4</w:t>
            </w:r>
            <w:r>
              <w:rPr>
                <w:rFonts w:hint="eastAsia" w:ascii="宋体" w:hAnsi="宋体"/>
                <w:sz w:val="21"/>
                <w:szCs w:val="21"/>
              </w:rPr>
              <w:t>）法律法规规定不得实行股权激励的；</w:t>
            </w:r>
          </w:p>
          <w:p>
            <w:pPr>
              <w:rPr>
                <w:sz w:val="21"/>
                <w:szCs w:val="21"/>
              </w:rPr>
            </w:pPr>
            <w:r>
              <w:rPr>
                <w:rFonts w:hint="eastAsia" w:ascii="宋体" w:hAnsi="宋体"/>
                <w:sz w:val="21"/>
                <w:szCs w:val="21"/>
              </w:rPr>
              <w:t>（</w:t>
            </w:r>
            <w:r>
              <w:rPr>
                <w:sz w:val="21"/>
                <w:szCs w:val="21"/>
              </w:rPr>
              <w:t>5</w:t>
            </w:r>
            <w:r>
              <w:rPr>
                <w:rFonts w:hint="eastAsia" w:ascii="宋体" w:hAnsi="宋体"/>
                <w:sz w:val="21"/>
                <w:szCs w:val="21"/>
              </w:rPr>
              <w:t>）中国证监会认定的其他情形。</w:t>
            </w:r>
          </w:p>
        </w:tc>
        <w:tc>
          <w:tcPr>
            <w:tcW w:w="1751" w:type="dxa"/>
            <w:tcBorders>
              <w:top w:val="single" w:color="auto" w:sz="8" w:space="0"/>
              <w:left w:val="single" w:color="auto" w:sz="8" w:space="0"/>
              <w:bottom w:val="single" w:color="auto" w:sz="8" w:space="0"/>
              <w:right w:val="single" w:color="auto" w:sz="8" w:space="0"/>
            </w:tcBorders>
            <w:vAlign w:val="center"/>
          </w:tcPr>
          <w:p>
            <w:pPr>
              <w:rPr>
                <w:sz w:val="21"/>
                <w:szCs w:val="21"/>
              </w:rPr>
            </w:pPr>
            <w:r>
              <w:rPr>
                <w:rFonts w:hint="eastAsia" w:ascii="宋体" w:hAnsi="宋体"/>
                <w:sz w:val="21"/>
                <w:szCs w:val="21"/>
              </w:rPr>
              <w:t>公司未发生前述情形，达到解除限售条件。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6771" w:type="dxa"/>
            <w:tcBorders>
              <w:top w:val="single" w:color="auto" w:sz="8" w:space="0"/>
              <w:left w:val="single" w:color="auto" w:sz="8" w:space="0"/>
              <w:bottom w:val="single" w:color="auto" w:sz="8" w:space="0"/>
              <w:right w:val="single" w:color="auto" w:sz="8" w:space="0"/>
            </w:tcBorders>
          </w:tcPr>
          <w:p>
            <w:pPr>
              <w:rPr>
                <w:b/>
                <w:bCs/>
                <w:sz w:val="21"/>
                <w:szCs w:val="21"/>
              </w:rPr>
            </w:pPr>
            <w:r>
              <w:rPr>
                <w:b/>
                <w:bCs/>
                <w:sz w:val="21"/>
                <w:szCs w:val="21"/>
              </w:rPr>
              <w:t>2.</w:t>
            </w:r>
            <w:r>
              <w:rPr>
                <w:rFonts w:hint="eastAsia" w:ascii="宋体" w:hAnsi="宋体"/>
                <w:b/>
                <w:bCs/>
                <w:sz w:val="21"/>
                <w:szCs w:val="21"/>
              </w:rPr>
              <w:t>激励对象未发生如下任一情形：</w:t>
            </w:r>
          </w:p>
          <w:p>
            <w:pPr>
              <w:rPr>
                <w:sz w:val="21"/>
                <w:szCs w:val="21"/>
              </w:rPr>
            </w:pPr>
            <w:r>
              <w:rPr>
                <w:rFonts w:hint="eastAsia" w:ascii="宋体" w:hAnsi="宋体"/>
                <w:sz w:val="21"/>
                <w:szCs w:val="21"/>
              </w:rPr>
              <w:t>（</w:t>
            </w:r>
            <w:r>
              <w:rPr>
                <w:sz w:val="21"/>
                <w:szCs w:val="21"/>
              </w:rPr>
              <w:t>1</w:t>
            </w:r>
            <w:r>
              <w:rPr>
                <w:rFonts w:hint="eastAsia" w:ascii="宋体" w:hAnsi="宋体"/>
                <w:sz w:val="21"/>
                <w:szCs w:val="21"/>
              </w:rPr>
              <w:t>）</w:t>
            </w:r>
            <w:r>
              <w:rPr>
                <w:rFonts w:ascii="宋体" w:hAnsi="宋体"/>
                <w:sz w:val="21"/>
                <w:szCs w:val="21"/>
              </w:rPr>
              <w:t>最近</w:t>
            </w:r>
            <w:r>
              <w:rPr>
                <w:sz w:val="21"/>
                <w:szCs w:val="21"/>
              </w:rPr>
              <w:t>12</w:t>
            </w:r>
            <w:r>
              <w:rPr>
                <w:rFonts w:ascii="宋体" w:hAnsi="宋体"/>
                <w:sz w:val="21"/>
                <w:szCs w:val="21"/>
              </w:rPr>
              <w:t>个月内被证券交易所认定为不适当人选；</w:t>
            </w:r>
          </w:p>
          <w:p>
            <w:pPr>
              <w:rPr>
                <w:sz w:val="21"/>
                <w:szCs w:val="21"/>
              </w:rPr>
            </w:pPr>
            <w:r>
              <w:rPr>
                <w:rFonts w:hint="eastAsia" w:ascii="宋体" w:hAnsi="宋体"/>
                <w:sz w:val="21"/>
                <w:szCs w:val="21"/>
              </w:rPr>
              <w:t>（</w:t>
            </w:r>
            <w:r>
              <w:rPr>
                <w:sz w:val="21"/>
                <w:szCs w:val="21"/>
              </w:rPr>
              <w:t>2</w:t>
            </w:r>
            <w:r>
              <w:rPr>
                <w:rFonts w:hint="eastAsia" w:ascii="宋体" w:hAnsi="宋体"/>
                <w:sz w:val="21"/>
                <w:szCs w:val="21"/>
              </w:rPr>
              <w:t>）</w:t>
            </w:r>
            <w:r>
              <w:rPr>
                <w:rFonts w:ascii="宋体" w:hAnsi="宋体"/>
                <w:sz w:val="21"/>
                <w:szCs w:val="21"/>
              </w:rPr>
              <w:t>最近</w:t>
            </w:r>
            <w:r>
              <w:rPr>
                <w:sz w:val="21"/>
                <w:szCs w:val="21"/>
              </w:rPr>
              <w:t>12</w:t>
            </w:r>
            <w:r>
              <w:rPr>
                <w:rFonts w:ascii="宋体" w:hAnsi="宋体"/>
                <w:sz w:val="21"/>
                <w:szCs w:val="21"/>
              </w:rPr>
              <w:t>个月内被中国证监会及其派出机构认定为不适当人选；</w:t>
            </w:r>
          </w:p>
          <w:p>
            <w:pPr>
              <w:rPr>
                <w:sz w:val="21"/>
                <w:szCs w:val="21"/>
              </w:rPr>
            </w:pPr>
            <w:r>
              <w:rPr>
                <w:rFonts w:hint="eastAsia" w:ascii="宋体" w:hAnsi="宋体"/>
                <w:sz w:val="21"/>
                <w:szCs w:val="21"/>
              </w:rPr>
              <w:t>（</w:t>
            </w:r>
            <w:r>
              <w:rPr>
                <w:sz w:val="21"/>
                <w:szCs w:val="21"/>
              </w:rPr>
              <w:t>3</w:t>
            </w:r>
            <w:r>
              <w:rPr>
                <w:rFonts w:hint="eastAsia" w:ascii="宋体" w:hAnsi="宋体"/>
                <w:sz w:val="21"/>
                <w:szCs w:val="21"/>
              </w:rPr>
              <w:t>）</w:t>
            </w:r>
            <w:r>
              <w:rPr>
                <w:rFonts w:ascii="宋体" w:hAnsi="宋体"/>
                <w:sz w:val="21"/>
                <w:szCs w:val="21"/>
              </w:rPr>
              <w:t>最近</w:t>
            </w:r>
            <w:r>
              <w:rPr>
                <w:sz w:val="21"/>
                <w:szCs w:val="21"/>
              </w:rPr>
              <w:t>12</w:t>
            </w:r>
            <w:r>
              <w:rPr>
                <w:rFonts w:ascii="宋体" w:hAnsi="宋体"/>
                <w:sz w:val="21"/>
                <w:szCs w:val="21"/>
              </w:rPr>
              <w:t>个月内因重大违法违规行为被中国证监会及其派出机构行政处罚或者采取市场禁入措施；</w:t>
            </w:r>
          </w:p>
          <w:p>
            <w:pPr>
              <w:rPr>
                <w:sz w:val="21"/>
                <w:szCs w:val="21"/>
              </w:rPr>
            </w:pPr>
            <w:r>
              <w:rPr>
                <w:rFonts w:hint="eastAsia" w:ascii="宋体" w:hAnsi="宋体"/>
                <w:sz w:val="21"/>
                <w:szCs w:val="21"/>
              </w:rPr>
              <w:t>（</w:t>
            </w:r>
            <w:r>
              <w:rPr>
                <w:sz w:val="21"/>
                <w:szCs w:val="21"/>
              </w:rPr>
              <w:t>4</w:t>
            </w:r>
            <w:r>
              <w:rPr>
                <w:rFonts w:hint="eastAsia" w:ascii="宋体" w:hAnsi="宋体"/>
                <w:sz w:val="21"/>
                <w:szCs w:val="21"/>
              </w:rPr>
              <w:t>）具有《公司法》规定的不得担任公司董事、高级管理</w:t>
            </w:r>
            <w:r>
              <w:rPr>
                <w:rFonts w:ascii="宋体" w:hAnsi="宋体"/>
                <w:sz w:val="21"/>
                <w:szCs w:val="21"/>
              </w:rPr>
              <w:t>人员的情形；</w:t>
            </w:r>
          </w:p>
          <w:p>
            <w:pPr>
              <w:rPr>
                <w:sz w:val="21"/>
                <w:szCs w:val="21"/>
              </w:rPr>
            </w:pPr>
            <w:r>
              <w:rPr>
                <w:rFonts w:hint="eastAsia" w:ascii="宋体" w:hAnsi="宋体"/>
                <w:sz w:val="21"/>
                <w:szCs w:val="21"/>
              </w:rPr>
              <w:t>（</w:t>
            </w:r>
            <w:r>
              <w:rPr>
                <w:sz w:val="21"/>
                <w:szCs w:val="21"/>
              </w:rPr>
              <w:t>5</w:t>
            </w:r>
            <w:r>
              <w:rPr>
                <w:rFonts w:hint="eastAsia" w:ascii="宋体" w:hAnsi="宋体"/>
                <w:sz w:val="21"/>
                <w:szCs w:val="21"/>
              </w:rPr>
              <w:t>）</w:t>
            </w:r>
            <w:r>
              <w:rPr>
                <w:rFonts w:ascii="宋体" w:hAnsi="宋体"/>
                <w:sz w:val="21"/>
                <w:szCs w:val="21"/>
              </w:rPr>
              <w:t>法律法规规定不得参与上市公司股权激励的；</w:t>
            </w:r>
          </w:p>
          <w:p>
            <w:pPr>
              <w:rPr>
                <w:sz w:val="21"/>
                <w:szCs w:val="21"/>
              </w:rPr>
            </w:pPr>
            <w:r>
              <w:rPr>
                <w:rFonts w:hint="eastAsia" w:ascii="宋体" w:hAnsi="宋体"/>
                <w:sz w:val="21"/>
                <w:szCs w:val="21"/>
              </w:rPr>
              <w:t>（</w:t>
            </w:r>
            <w:r>
              <w:rPr>
                <w:sz w:val="21"/>
                <w:szCs w:val="21"/>
              </w:rPr>
              <w:t>6</w:t>
            </w:r>
            <w:r>
              <w:rPr>
                <w:rFonts w:hint="eastAsia" w:ascii="宋体" w:hAnsi="宋体"/>
                <w:sz w:val="21"/>
                <w:szCs w:val="21"/>
              </w:rPr>
              <w:t>）</w:t>
            </w:r>
            <w:r>
              <w:rPr>
                <w:rFonts w:ascii="宋体" w:hAnsi="宋体"/>
                <w:sz w:val="21"/>
                <w:szCs w:val="21"/>
              </w:rPr>
              <w:t>中国证监会认定的其他情形。</w:t>
            </w:r>
          </w:p>
        </w:tc>
        <w:tc>
          <w:tcPr>
            <w:tcW w:w="1751" w:type="dxa"/>
            <w:tcBorders>
              <w:top w:val="single" w:color="auto" w:sz="8" w:space="0"/>
              <w:left w:val="single" w:color="auto" w:sz="8" w:space="0"/>
              <w:bottom w:val="single" w:color="auto" w:sz="8" w:space="0"/>
              <w:right w:val="single" w:color="auto" w:sz="8" w:space="0"/>
            </w:tcBorders>
            <w:vAlign w:val="center"/>
          </w:tcPr>
          <w:p>
            <w:pPr>
              <w:rPr>
                <w:sz w:val="21"/>
                <w:szCs w:val="21"/>
              </w:rPr>
            </w:pPr>
            <w:r>
              <w:rPr>
                <w:rFonts w:hint="eastAsia" w:ascii="宋体" w:hAnsi="宋体"/>
                <w:sz w:val="21"/>
                <w:szCs w:val="21"/>
              </w:rPr>
              <w:t>激励对象未发生前述情形，达到解除限售条件。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6771" w:type="dxa"/>
            <w:tcBorders>
              <w:top w:val="single" w:color="auto" w:sz="8" w:space="0"/>
              <w:left w:val="single" w:color="auto" w:sz="8" w:space="0"/>
              <w:bottom w:val="single" w:color="auto" w:sz="8" w:space="0"/>
              <w:right w:val="single" w:color="auto" w:sz="8" w:space="0"/>
            </w:tcBorders>
          </w:tcPr>
          <w:p>
            <w:pPr>
              <w:rPr>
                <w:b/>
                <w:bCs/>
                <w:sz w:val="21"/>
                <w:szCs w:val="21"/>
              </w:rPr>
            </w:pPr>
            <w:r>
              <w:rPr>
                <w:b/>
                <w:bCs/>
                <w:sz w:val="21"/>
                <w:szCs w:val="21"/>
              </w:rPr>
              <w:t>3</w:t>
            </w:r>
            <w:r>
              <w:rPr>
                <w:rFonts w:hint="eastAsia" w:ascii="宋体" w:hAnsi="宋体"/>
                <w:b/>
                <w:bCs/>
                <w:sz w:val="21"/>
                <w:szCs w:val="21"/>
              </w:rPr>
              <w:t>、公司层面业绩考核要求：</w:t>
            </w:r>
          </w:p>
          <w:p>
            <w:pPr>
              <w:ind w:firstLine="420" w:firstLineChars="200"/>
              <w:rPr>
                <w:sz w:val="21"/>
                <w:szCs w:val="21"/>
              </w:rPr>
            </w:pPr>
            <w:r>
              <w:rPr>
                <w:rFonts w:hint="eastAsia" w:ascii="宋体" w:hAnsi="宋体"/>
                <w:sz w:val="21"/>
                <w:szCs w:val="21"/>
              </w:rPr>
              <w:t>本激励计划在</w:t>
            </w:r>
            <w:r>
              <w:rPr>
                <w:sz w:val="21"/>
                <w:szCs w:val="21"/>
              </w:rPr>
              <w:t>2022</w:t>
            </w:r>
            <w:r>
              <w:rPr>
                <w:rFonts w:hint="eastAsia" w:ascii="宋体" w:hAnsi="宋体"/>
                <w:sz w:val="21"/>
                <w:szCs w:val="21"/>
              </w:rPr>
              <w:t>年</w:t>
            </w:r>
            <w:r>
              <w:rPr>
                <w:sz w:val="21"/>
                <w:szCs w:val="21"/>
              </w:rPr>
              <w:t>-2024</w:t>
            </w:r>
            <w:r>
              <w:rPr>
                <w:rFonts w:hint="eastAsia" w:ascii="宋体" w:hAnsi="宋体"/>
                <w:sz w:val="21"/>
                <w:szCs w:val="21"/>
              </w:rPr>
              <w:t>年会计年度中，分年度对公司的业绩指标进行考核，以达到业绩考核目标作为激励对象当年度的解除限售条件之一。本激励计划业绩考核目标如下表所示：</w:t>
            </w:r>
          </w:p>
          <w:p>
            <w:pPr>
              <w:ind w:firstLine="420" w:firstLineChars="200"/>
              <w:rPr>
                <w:sz w:val="21"/>
                <w:szCs w:val="21"/>
              </w:rPr>
            </w:pPr>
            <w:r>
              <w:rPr>
                <w:rFonts w:hint="eastAsia" w:ascii="宋体" w:hAnsi="宋体"/>
                <w:sz w:val="21"/>
                <w:szCs w:val="21"/>
              </w:rPr>
              <w:t>首次授予的限制性股票的第二个解除限售期公司层面业绩考核目标如下表所示：</w:t>
            </w:r>
          </w:p>
          <w:tbl>
            <w:tblPr>
              <w:tblStyle w:val="11"/>
              <w:tblW w:w="62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6"/>
              <w:gridCol w:w="47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516" w:type="dxa"/>
                  <w:tcBorders>
                    <w:top w:val="single" w:color="auto" w:sz="4" w:space="0"/>
                    <w:left w:val="single" w:color="auto" w:sz="4" w:space="0"/>
                    <w:bottom w:val="single" w:color="auto" w:sz="4" w:space="0"/>
                    <w:right w:val="single" w:color="auto" w:sz="4" w:space="0"/>
                  </w:tcBorders>
                  <w:shd w:val="clear" w:color="auto" w:fill="F2F2F2"/>
                  <w:vAlign w:val="center"/>
                </w:tcPr>
                <w:p>
                  <w:pPr>
                    <w:jc w:val="center"/>
                    <w:rPr>
                      <w:b/>
                      <w:sz w:val="21"/>
                      <w:szCs w:val="21"/>
                    </w:rPr>
                  </w:pPr>
                  <w:r>
                    <w:rPr>
                      <w:rFonts w:hint="eastAsia" w:ascii="宋体" w:hAnsi="宋体"/>
                      <w:b/>
                      <w:sz w:val="21"/>
                      <w:szCs w:val="21"/>
                    </w:rPr>
                    <w:t>解除限售期</w:t>
                  </w:r>
                </w:p>
              </w:tc>
              <w:tc>
                <w:tcPr>
                  <w:tcW w:w="4738" w:type="dxa"/>
                  <w:tcBorders>
                    <w:top w:val="single" w:color="auto" w:sz="4" w:space="0"/>
                    <w:left w:val="nil"/>
                    <w:bottom w:val="single" w:color="auto" w:sz="4" w:space="0"/>
                    <w:right w:val="single" w:color="auto" w:sz="4" w:space="0"/>
                  </w:tcBorders>
                  <w:shd w:val="clear" w:color="auto" w:fill="F2F2F2"/>
                  <w:vAlign w:val="center"/>
                </w:tcPr>
                <w:p>
                  <w:pPr>
                    <w:jc w:val="center"/>
                    <w:rPr>
                      <w:b/>
                      <w:sz w:val="21"/>
                      <w:szCs w:val="21"/>
                    </w:rPr>
                  </w:pPr>
                  <w:r>
                    <w:rPr>
                      <w:rFonts w:hint="eastAsia" w:ascii="宋体" w:hAnsi="宋体"/>
                      <w:b/>
                      <w:sz w:val="21"/>
                      <w:szCs w:val="21"/>
                    </w:rPr>
                    <w:t>业绩考核目标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1516" w:type="dxa"/>
                  <w:tcBorders>
                    <w:top w:val="single" w:color="auto" w:sz="4" w:space="0"/>
                    <w:left w:val="single" w:color="auto" w:sz="4" w:space="0"/>
                    <w:bottom w:val="single" w:color="auto" w:sz="4" w:space="0"/>
                    <w:right w:val="single" w:color="auto" w:sz="4" w:space="0"/>
                  </w:tcBorders>
                  <w:vAlign w:val="center"/>
                </w:tcPr>
                <w:p>
                  <w:pPr>
                    <w:jc w:val="center"/>
                    <w:rPr>
                      <w:sz w:val="21"/>
                      <w:szCs w:val="21"/>
                    </w:rPr>
                  </w:pPr>
                  <w:r>
                    <w:rPr>
                      <w:rFonts w:hint="eastAsia" w:ascii="宋体" w:hAnsi="宋体"/>
                      <w:sz w:val="21"/>
                      <w:szCs w:val="21"/>
                    </w:rPr>
                    <w:t>第二个解除限售期</w:t>
                  </w:r>
                </w:p>
              </w:tc>
              <w:tc>
                <w:tcPr>
                  <w:tcW w:w="4738" w:type="dxa"/>
                  <w:tcBorders>
                    <w:top w:val="single" w:color="auto" w:sz="4" w:space="0"/>
                    <w:left w:val="single" w:color="auto" w:sz="4" w:space="0"/>
                    <w:bottom w:val="single" w:color="auto" w:sz="4" w:space="0"/>
                    <w:right w:val="single" w:color="auto" w:sz="4" w:space="0"/>
                  </w:tcBorders>
                  <w:vAlign w:val="center"/>
                </w:tcPr>
                <w:p>
                  <w:pPr>
                    <w:rPr>
                      <w:sz w:val="21"/>
                      <w:szCs w:val="21"/>
                    </w:rPr>
                  </w:pPr>
                  <w:r>
                    <w:rPr>
                      <w:rFonts w:hint="eastAsia" w:ascii="宋体" w:hAnsi="宋体"/>
                      <w:sz w:val="21"/>
                      <w:szCs w:val="21"/>
                    </w:rPr>
                    <w:t>公司需满足下列两个条件之一：</w:t>
                  </w:r>
                </w:p>
                <w:p>
                  <w:pPr>
                    <w:rPr>
                      <w:sz w:val="21"/>
                      <w:szCs w:val="21"/>
                    </w:rPr>
                  </w:pPr>
                  <w:r>
                    <w:rPr>
                      <w:sz w:val="21"/>
                      <w:szCs w:val="21"/>
                    </w:rPr>
                    <w:t>1</w:t>
                  </w:r>
                  <w:r>
                    <w:rPr>
                      <w:rFonts w:hint="eastAsia" w:ascii="宋体" w:hAnsi="宋体"/>
                      <w:sz w:val="21"/>
                      <w:szCs w:val="21"/>
                    </w:rPr>
                    <w:t>、以</w:t>
                  </w:r>
                  <w:r>
                    <w:rPr>
                      <w:sz w:val="21"/>
                      <w:szCs w:val="21"/>
                    </w:rPr>
                    <w:t>2021</w:t>
                  </w:r>
                  <w:r>
                    <w:rPr>
                      <w:rFonts w:hint="eastAsia" w:ascii="宋体" w:hAnsi="宋体"/>
                      <w:sz w:val="21"/>
                      <w:szCs w:val="21"/>
                    </w:rPr>
                    <w:t>年营业收入为基数，</w:t>
                  </w:r>
                  <w:r>
                    <w:rPr>
                      <w:sz w:val="21"/>
                      <w:szCs w:val="21"/>
                    </w:rPr>
                    <w:t>2023</w:t>
                  </w:r>
                  <w:r>
                    <w:rPr>
                      <w:rFonts w:hint="eastAsia" w:ascii="宋体" w:hAnsi="宋体"/>
                      <w:sz w:val="21"/>
                      <w:szCs w:val="21"/>
                    </w:rPr>
                    <w:t>年营业收入增长率不低于</w:t>
                  </w:r>
                  <w:r>
                    <w:rPr>
                      <w:sz w:val="21"/>
                      <w:szCs w:val="21"/>
                    </w:rPr>
                    <w:t>20%</w:t>
                  </w:r>
                  <w:r>
                    <w:rPr>
                      <w:rFonts w:hint="eastAsia" w:ascii="宋体" w:hAnsi="宋体"/>
                      <w:sz w:val="21"/>
                      <w:szCs w:val="21"/>
                    </w:rPr>
                    <w:t>；</w:t>
                  </w:r>
                </w:p>
                <w:p>
                  <w:pPr>
                    <w:rPr>
                      <w:sz w:val="21"/>
                      <w:szCs w:val="21"/>
                    </w:rPr>
                  </w:pPr>
                  <w:r>
                    <w:rPr>
                      <w:sz w:val="21"/>
                      <w:szCs w:val="21"/>
                    </w:rPr>
                    <w:t>2</w:t>
                  </w:r>
                  <w:r>
                    <w:rPr>
                      <w:rFonts w:hint="eastAsia" w:ascii="宋体" w:hAnsi="宋体"/>
                      <w:sz w:val="21"/>
                      <w:szCs w:val="21"/>
                    </w:rPr>
                    <w:t>、以</w:t>
                  </w:r>
                  <w:r>
                    <w:rPr>
                      <w:sz w:val="21"/>
                      <w:szCs w:val="21"/>
                    </w:rPr>
                    <w:t>2021</w:t>
                  </w:r>
                  <w:r>
                    <w:rPr>
                      <w:rFonts w:hint="eastAsia" w:ascii="宋体" w:hAnsi="宋体"/>
                      <w:sz w:val="21"/>
                      <w:szCs w:val="21"/>
                    </w:rPr>
                    <w:t>年净利润为基数，</w:t>
                  </w:r>
                  <w:r>
                    <w:rPr>
                      <w:sz w:val="21"/>
                      <w:szCs w:val="21"/>
                    </w:rPr>
                    <w:t>2023</w:t>
                  </w:r>
                  <w:r>
                    <w:rPr>
                      <w:rFonts w:hint="eastAsia" w:ascii="宋体" w:hAnsi="宋体"/>
                      <w:sz w:val="21"/>
                      <w:szCs w:val="21"/>
                    </w:rPr>
                    <w:t>年净利润增长率不低于</w:t>
                  </w:r>
                  <w:r>
                    <w:rPr>
                      <w:sz w:val="21"/>
                      <w:szCs w:val="21"/>
                    </w:rPr>
                    <w:t>20%</w:t>
                  </w:r>
                  <w:r>
                    <w:rPr>
                      <w:rFonts w:hint="eastAsia" w:ascii="宋体" w:hAnsi="宋体"/>
                      <w:sz w:val="21"/>
                      <w:szCs w:val="21"/>
                    </w:rPr>
                    <w:t>。</w:t>
                  </w:r>
                </w:p>
              </w:tc>
            </w:tr>
          </w:tbl>
          <w:p>
            <w:pPr>
              <w:ind w:firstLine="420" w:firstLineChars="200"/>
              <w:rPr>
                <w:sz w:val="21"/>
                <w:szCs w:val="21"/>
              </w:rPr>
            </w:pPr>
            <w:r>
              <w:rPr>
                <w:rFonts w:hint="eastAsia" w:ascii="宋体" w:hAnsi="宋体"/>
                <w:sz w:val="21"/>
                <w:szCs w:val="21"/>
              </w:rPr>
              <w:t>预留授予的限制性股票的第一个解除限售期公司层面业绩考核目标如下表所示：</w:t>
            </w:r>
          </w:p>
          <w:tbl>
            <w:tblPr>
              <w:tblStyle w:val="12"/>
              <w:tblW w:w="6229"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97"/>
              <w:gridCol w:w="473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497" w:type="dxa"/>
                  <w:tcBorders>
                    <w:top w:val="single" w:color="auto" w:sz="4" w:space="0"/>
                    <w:left w:val="single" w:color="auto" w:sz="4" w:space="0"/>
                    <w:bottom w:val="single" w:color="auto" w:sz="4" w:space="0"/>
                    <w:right w:val="single" w:color="auto" w:sz="4" w:space="0"/>
                  </w:tcBorders>
                  <w:shd w:val="clear" w:color="auto" w:fill="F1F1F1"/>
                  <w:vAlign w:val="center"/>
                </w:tcPr>
                <w:p>
                  <w:pPr>
                    <w:jc w:val="center"/>
                    <w:rPr>
                      <w:sz w:val="21"/>
                      <w:szCs w:val="21"/>
                    </w:rPr>
                  </w:pPr>
                  <w:r>
                    <w:rPr>
                      <w:rFonts w:hint="eastAsia" w:ascii="宋体" w:hAnsi="宋体"/>
                      <w:b/>
                      <w:sz w:val="21"/>
                      <w:szCs w:val="21"/>
                    </w:rPr>
                    <w:t>解除限售期</w:t>
                  </w:r>
                </w:p>
              </w:tc>
              <w:tc>
                <w:tcPr>
                  <w:tcW w:w="4732" w:type="dxa"/>
                  <w:tcBorders>
                    <w:top w:val="single" w:color="auto" w:sz="4" w:space="0"/>
                    <w:left w:val="single" w:color="auto" w:sz="4" w:space="0"/>
                    <w:bottom w:val="single" w:color="auto" w:sz="4" w:space="0"/>
                    <w:right w:val="single" w:color="auto" w:sz="4" w:space="0"/>
                  </w:tcBorders>
                  <w:shd w:val="clear" w:color="auto" w:fill="F1F1F1"/>
                  <w:vAlign w:val="center"/>
                </w:tcPr>
                <w:p>
                  <w:pPr>
                    <w:jc w:val="center"/>
                    <w:rPr>
                      <w:sz w:val="21"/>
                      <w:szCs w:val="21"/>
                    </w:rPr>
                  </w:pPr>
                  <w:r>
                    <w:rPr>
                      <w:rFonts w:hint="eastAsia" w:ascii="宋体" w:hAnsi="宋体"/>
                      <w:b/>
                      <w:sz w:val="21"/>
                      <w:szCs w:val="21"/>
                    </w:rPr>
                    <w:t>业绩考核目标</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7" w:hRule="atLeast"/>
              </w:trPr>
              <w:tc>
                <w:tcPr>
                  <w:tcW w:w="1497" w:type="dxa"/>
                  <w:tcBorders>
                    <w:top w:val="single" w:color="auto" w:sz="4" w:space="0"/>
                    <w:left w:val="single" w:color="auto" w:sz="4" w:space="0"/>
                    <w:bottom w:val="single" w:color="auto" w:sz="4" w:space="0"/>
                    <w:right w:val="single" w:color="auto" w:sz="4" w:space="0"/>
                  </w:tcBorders>
                </w:tcPr>
                <w:p>
                  <w:pPr>
                    <w:jc w:val="center"/>
                    <w:rPr>
                      <w:sz w:val="21"/>
                      <w:szCs w:val="21"/>
                    </w:rPr>
                  </w:pPr>
                  <w:r>
                    <w:rPr>
                      <w:rFonts w:hint="eastAsia" w:ascii="宋体" w:hAnsi="宋体"/>
                      <w:sz w:val="21"/>
                      <w:szCs w:val="21"/>
                    </w:rPr>
                    <w:t>第一个解除限售期</w:t>
                  </w:r>
                </w:p>
              </w:tc>
              <w:tc>
                <w:tcPr>
                  <w:tcW w:w="4732" w:type="dxa"/>
                  <w:tcBorders>
                    <w:top w:val="single" w:color="auto" w:sz="4" w:space="0"/>
                    <w:left w:val="single" w:color="auto" w:sz="4" w:space="0"/>
                    <w:bottom w:val="single" w:color="auto" w:sz="4" w:space="0"/>
                    <w:right w:val="single" w:color="auto" w:sz="4" w:space="0"/>
                  </w:tcBorders>
                </w:tcPr>
                <w:p>
                  <w:pPr>
                    <w:rPr>
                      <w:sz w:val="21"/>
                      <w:szCs w:val="21"/>
                    </w:rPr>
                  </w:pPr>
                  <w:r>
                    <w:rPr>
                      <w:rFonts w:hint="eastAsia" w:ascii="宋体" w:hAnsi="宋体"/>
                      <w:sz w:val="21"/>
                      <w:szCs w:val="21"/>
                    </w:rPr>
                    <w:t>公司需满足下列两个条件之一：</w:t>
                  </w:r>
                </w:p>
                <w:p>
                  <w:pPr>
                    <w:rPr>
                      <w:sz w:val="21"/>
                      <w:szCs w:val="21"/>
                    </w:rPr>
                  </w:pPr>
                  <w:r>
                    <w:rPr>
                      <w:rFonts w:hint="eastAsia"/>
                      <w:sz w:val="21"/>
                      <w:szCs w:val="21"/>
                    </w:rPr>
                    <w:t>1</w:t>
                  </w:r>
                  <w:r>
                    <w:rPr>
                      <w:rFonts w:hint="eastAsia" w:ascii="宋体" w:hAnsi="宋体"/>
                      <w:sz w:val="21"/>
                      <w:szCs w:val="21"/>
                    </w:rPr>
                    <w:t>、以</w:t>
                  </w:r>
                  <w:r>
                    <w:rPr>
                      <w:rFonts w:hint="eastAsia"/>
                      <w:sz w:val="21"/>
                      <w:szCs w:val="21"/>
                    </w:rPr>
                    <w:t>2021</w:t>
                  </w:r>
                  <w:r>
                    <w:rPr>
                      <w:rFonts w:hint="eastAsia" w:ascii="宋体" w:hAnsi="宋体"/>
                      <w:sz w:val="21"/>
                      <w:szCs w:val="21"/>
                    </w:rPr>
                    <w:t>年营业收入为基数，</w:t>
                  </w:r>
                  <w:r>
                    <w:rPr>
                      <w:rFonts w:hint="eastAsia"/>
                      <w:sz w:val="21"/>
                      <w:szCs w:val="21"/>
                    </w:rPr>
                    <w:t>2023</w:t>
                  </w:r>
                  <w:r>
                    <w:rPr>
                      <w:rFonts w:hint="eastAsia" w:ascii="宋体" w:hAnsi="宋体"/>
                      <w:sz w:val="21"/>
                      <w:szCs w:val="21"/>
                    </w:rPr>
                    <w:t>年营业收入增长率不低于</w:t>
                  </w:r>
                  <w:r>
                    <w:rPr>
                      <w:rFonts w:hint="eastAsia"/>
                      <w:sz w:val="21"/>
                      <w:szCs w:val="21"/>
                    </w:rPr>
                    <w:t>20%</w:t>
                  </w:r>
                  <w:r>
                    <w:rPr>
                      <w:rFonts w:hint="eastAsia" w:ascii="宋体" w:hAnsi="宋体"/>
                      <w:sz w:val="21"/>
                      <w:szCs w:val="21"/>
                    </w:rPr>
                    <w:t>；</w:t>
                  </w:r>
                </w:p>
                <w:p>
                  <w:pPr>
                    <w:rPr>
                      <w:sz w:val="21"/>
                      <w:szCs w:val="21"/>
                    </w:rPr>
                  </w:pPr>
                  <w:r>
                    <w:rPr>
                      <w:rFonts w:hint="eastAsia"/>
                      <w:sz w:val="21"/>
                      <w:szCs w:val="21"/>
                    </w:rPr>
                    <w:t>2</w:t>
                  </w:r>
                  <w:r>
                    <w:rPr>
                      <w:rFonts w:hint="eastAsia" w:ascii="宋体" w:hAnsi="宋体"/>
                      <w:sz w:val="21"/>
                      <w:szCs w:val="21"/>
                    </w:rPr>
                    <w:t>、以</w:t>
                  </w:r>
                  <w:r>
                    <w:rPr>
                      <w:rFonts w:hint="eastAsia"/>
                      <w:sz w:val="21"/>
                      <w:szCs w:val="21"/>
                    </w:rPr>
                    <w:t>2021</w:t>
                  </w:r>
                  <w:r>
                    <w:rPr>
                      <w:rFonts w:hint="eastAsia" w:ascii="宋体" w:hAnsi="宋体"/>
                      <w:sz w:val="21"/>
                      <w:szCs w:val="21"/>
                    </w:rPr>
                    <w:t>年净利润为基数，</w:t>
                  </w:r>
                  <w:r>
                    <w:rPr>
                      <w:rFonts w:hint="eastAsia"/>
                      <w:sz w:val="21"/>
                      <w:szCs w:val="21"/>
                    </w:rPr>
                    <w:t>2023</w:t>
                  </w:r>
                  <w:r>
                    <w:rPr>
                      <w:rFonts w:hint="eastAsia" w:ascii="宋体" w:hAnsi="宋体"/>
                      <w:sz w:val="21"/>
                      <w:szCs w:val="21"/>
                    </w:rPr>
                    <w:t>年净利润增长率不低于</w:t>
                  </w:r>
                  <w:r>
                    <w:rPr>
                      <w:rFonts w:hint="eastAsia"/>
                      <w:sz w:val="21"/>
                      <w:szCs w:val="21"/>
                    </w:rPr>
                    <w:t>20%</w:t>
                  </w:r>
                  <w:r>
                    <w:rPr>
                      <w:rFonts w:hint="eastAsia" w:ascii="宋体" w:hAnsi="宋体"/>
                      <w:sz w:val="21"/>
                      <w:szCs w:val="21"/>
                    </w:rPr>
                    <w:t>。</w:t>
                  </w:r>
                </w:p>
              </w:tc>
            </w:tr>
          </w:tbl>
          <w:p>
            <w:pPr>
              <w:rPr>
                <w:sz w:val="21"/>
                <w:szCs w:val="21"/>
              </w:rPr>
            </w:pPr>
            <w:r>
              <w:rPr>
                <w:rFonts w:hint="eastAsia" w:ascii="宋体" w:hAnsi="宋体"/>
                <w:sz w:val="21"/>
                <w:szCs w:val="21"/>
              </w:rPr>
              <w:t>注：</w:t>
            </w:r>
            <w:r>
              <w:rPr>
                <w:sz w:val="21"/>
                <w:szCs w:val="21"/>
              </w:rPr>
              <w:t>1</w:t>
            </w:r>
            <w:r>
              <w:rPr>
                <w:rFonts w:hint="eastAsia" w:ascii="宋体" w:hAnsi="宋体"/>
                <w:sz w:val="21"/>
                <w:szCs w:val="21"/>
              </w:rPr>
              <w:t>、上述“营业收入”指经审计的上市公司营业收入；</w:t>
            </w:r>
          </w:p>
          <w:p>
            <w:pPr>
              <w:rPr>
                <w:sz w:val="21"/>
                <w:szCs w:val="21"/>
              </w:rPr>
            </w:pPr>
            <w:r>
              <w:rPr>
                <w:sz w:val="21"/>
                <w:szCs w:val="21"/>
              </w:rPr>
              <w:t>2</w:t>
            </w:r>
            <w:r>
              <w:rPr>
                <w:rFonts w:hint="eastAsia" w:ascii="宋体" w:hAnsi="宋体"/>
                <w:sz w:val="21"/>
                <w:szCs w:val="21"/>
              </w:rPr>
              <w:t>、上述“净利润”指经审计的归属于上市公司股东的净利润，但剔除本次及其它股权激励计划及员工持股计划的股份支付费用影响的数值作为计算依据。</w:t>
            </w:r>
          </w:p>
        </w:tc>
        <w:tc>
          <w:tcPr>
            <w:tcW w:w="1751" w:type="dxa"/>
            <w:tcBorders>
              <w:top w:val="single" w:color="auto" w:sz="8" w:space="0"/>
              <w:left w:val="single" w:color="auto" w:sz="8" w:space="0"/>
              <w:bottom w:val="single" w:color="auto" w:sz="8" w:space="0"/>
              <w:right w:val="single" w:color="auto" w:sz="8" w:space="0"/>
            </w:tcBorders>
          </w:tcPr>
          <w:p>
            <w:pPr>
              <w:rPr>
                <w:sz w:val="21"/>
                <w:szCs w:val="21"/>
              </w:rPr>
            </w:pPr>
            <w:r>
              <w:rPr>
                <w:rFonts w:hint="eastAsia" w:ascii="宋体" w:hAnsi="宋体"/>
                <w:sz w:val="21"/>
                <w:szCs w:val="21"/>
              </w:rPr>
              <w:t>根据中兴财光华会计师事务所（特殊普通合伙）出具的《公司</w:t>
            </w:r>
            <w:r>
              <w:rPr>
                <w:sz w:val="21"/>
                <w:szCs w:val="21"/>
              </w:rPr>
              <w:t>202</w:t>
            </w:r>
            <w:r>
              <w:rPr>
                <w:rFonts w:hint="eastAsia"/>
                <w:sz w:val="21"/>
                <w:szCs w:val="21"/>
              </w:rPr>
              <w:t>3</w:t>
            </w:r>
            <w:r>
              <w:rPr>
                <w:rFonts w:hint="eastAsia" w:ascii="宋体" w:hAnsi="宋体"/>
                <w:sz w:val="21"/>
                <w:szCs w:val="21"/>
              </w:rPr>
              <w:t>年度审计报告》</w:t>
            </w:r>
            <w:r>
              <w:rPr>
                <w:sz w:val="21"/>
                <w:szCs w:val="21"/>
              </w:rPr>
              <w:t>,</w:t>
            </w:r>
            <w:r>
              <w:rPr>
                <w:rFonts w:hint="eastAsia" w:ascii="宋体" w:hAnsi="宋体"/>
                <w:sz w:val="21"/>
                <w:szCs w:val="21"/>
              </w:rPr>
              <w:t>公司业绩情况如下：</w:t>
            </w:r>
            <w:r>
              <w:rPr>
                <w:sz w:val="21"/>
                <w:szCs w:val="21"/>
              </w:rPr>
              <w:t>202</w:t>
            </w:r>
            <w:r>
              <w:rPr>
                <w:rFonts w:hint="eastAsia"/>
                <w:sz w:val="21"/>
                <w:szCs w:val="21"/>
              </w:rPr>
              <w:t>3</w:t>
            </w:r>
            <w:r>
              <w:rPr>
                <w:rFonts w:hint="eastAsia" w:ascii="宋体" w:hAnsi="宋体"/>
                <w:sz w:val="21"/>
                <w:szCs w:val="21"/>
              </w:rPr>
              <w:t>年度，公司营业收入为</w:t>
            </w:r>
            <w:r>
              <w:rPr>
                <w:rFonts w:hint="eastAsia"/>
                <w:sz w:val="21"/>
                <w:szCs w:val="21"/>
              </w:rPr>
              <w:t>223,996.25</w:t>
            </w:r>
            <w:r>
              <w:rPr>
                <w:rFonts w:hint="eastAsia" w:ascii="宋体" w:hAnsi="宋体"/>
                <w:sz w:val="21"/>
                <w:szCs w:val="21"/>
              </w:rPr>
              <w:t>万元，与</w:t>
            </w:r>
            <w:r>
              <w:rPr>
                <w:sz w:val="21"/>
                <w:szCs w:val="21"/>
              </w:rPr>
              <w:t>2021</w:t>
            </w:r>
            <w:r>
              <w:rPr>
                <w:rFonts w:hint="eastAsia" w:ascii="宋体" w:hAnsi="宋体"/>
                <w:sz w:val="21"/>
                <w:szCs w:val="21"/>
              </w:rPr>
              <w:t>年度营业收入</w:t>
            </w:r>
            <w:r>
              <w:rPr>
                <w:rFonts w:hint="eastAsia"/>
                <w:sz w:val="21"/>
                <w:szCs w:val="21"/>
              </w:rPr>
              <w:t>1</w:t>
            </w:r>
            <w:r>
              <w:rPr>
                <w:sz w:val="21"/>
                <w:szCs w:val="21"/>
              </w:rPr>
              <w:t>77,545.07</w:t>
            </w:r>
            <w:r>
              <w:rPr>
                <w:rFonts w:hint="eastAsia" w:ascii="宋体" w:hAnsi="宋体"/>
                <w:sz w:val="21"/>
                <w:szCs w:val="21"/>
              </w:rPr>
              <w:t>万元相比，增长率为</w:t>
            </w:r>
            <w:r>
              <w:rPr>
                <w:rFonts w:hint="eastAsia"/>
                <w:sz w:val="21"/>
                <w:szCs w:val="21"/>
              </w:rPr>
              <w:t>26.16</w:t>
            </w:r>
            <w:r>
              <w:rPr>
                <w:sz w:val="21"/>
                <w:szCs w:val="21"/>
              </w:rPr>
              <w:t>%</w:t>
            </w:r>
            <w:r>
              <w:rPr>
                <w:rFonts w:hint="eastAsia" w:ascii="宋体" w:hAnsi="宋体"/>
                <w:sz w:val="21"/>
                <w:szCs w:val="21"/>
              </w:rPr>
              <w:t>，满足解除限售条件。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6771" w:type="dxa"/>
            <w:tcBorders>
              <w:top w:val="single" w:color="auto" w:sz="8" w:space="0"/>
              <w:left w:val="single" w:color="auto" w:sz="8" w:space="0"/>
              <w:bottom w:val="single" w:color="auto" w:sz="8" w:space="0"/>
              <w:right w:val="single" w:color="auto" w:sz="8" w:space="0"/>
            </w:tcBorders>
          </w:tcPr>
          <w:p>
            <w:pPr>
              <w:rPr>
                <w:b/>
                <w:bCs/>
                <w:sz w:val="21"/>
                <w:szCs w:val="21"/>
              </w:rPr>
            </w:pPr>
            <w:r>
              <w:rPr>
                <w:b/>
                <w:bCs/>
                <w:sz w:val="21"/>
                <w:szCs w:val="21"/>
              </w:rPr>
              <w:t>4</w:t>
            </w:r>
            <w:r>
              <w:rPr>
                <w:rFonts w:hint="eastAsia" w:ascii="宋体" w:hAnsi="宋体"/>
                <w:b/>
                <w:bCs/>
                <w:sz w:val="21"/>
                <w:szCs w:val="21"/>
              </w:rPr>
              <w:t>、</w:t>
            </w:r>
            <w:r>
              <w:rPr>
                <w:rFonts w:ascii="宋体" w:hAnsi="宋体"/>
                <w:b/>
                <w:bCs/>
                <w:sz w:val="21"/>
                <w:szCs w:val="21"/>
              </w:rPr>
              <w:t>激励对象个人层面的绩效考核要求</w:t>
            </w:r>
            <w:r>
              <w:rPr>
                <w:rFonts w:hint="eastAsia" w:ascii="宋体" w:hAnsi="宋体"/>
                <w:b/>
                <w:bCs/>
                <w:sz w:val="21"/>
                <w:szCs w:val="21"/>
              </w:rPr>
              <w:t>：</w:t>
            </w:r>
          </w:p>
          <w:p>
            <w:pPr>
              <w:ind w:firstLine="420" w:firstLineChars="200"/>
              <w:rPr>
                <w:sz w:val="21"/>
                <w:szCs w:val="21"/>
              </w:rPr>
            </w:pPr>
            <w:r>
              <w:rPr>
                <w:rFonts w:hint="eastAsia" w:ascii="宋体" w:hAnsi="宋体"/>
                <w:sz w:val="21"/>
                <w:szCs w:val="21"/>
              </w:rPr>
              <w:t>激励对象个人层面的考核根据公司内部绩效考核相关制度实施。激励对象个人考核评价结果分为“</w:t>
            </w:r>
            <w:r>
              <w:rPr>
                <w:sz w:val="21"/>
                <w:szCs w:val="21"/>
              </w:rPr>
              <w:t>A</w:t>
            </w:r>
            <w:r>
              <w:rPr>
                <w:rFonts w:hint="eastAsia" w:ascii="宋体" w:hAnsi="宋体"/>
                <w:sz w:val="21"/>
                <w:szCs w:val="21"/>
              </w:rPr>
              <w:t>”、“</w:t>
            </w:r>
            <w:r>
              <w:rPr>
                <w:sz w:val="21"/>
                <w:szCs w:val="21"/>
              </w:rPr>
              <w:t>B</w:t>
            </w:r>
            <w:r>
              <w:rPr>
                <w:rFonts w:hint="eastAsia" w:ascii="宋体" w:hAnsi="宋体"/>
                <w:sz w:val="21"/>
                <w:szCs w:val="21"/>
              </w:rPr>
              <w:t>”、“</w:t>
            </w:r>
            <w:r>
              <w:rPr>
                <w:sz w:val="21"/>
                <w:szCs w:val="21"/>
              </w:rPr>
              <w:t>C</w:t>
            </w:r>
            <w:r>
              <w:rPr>
                <w:rFonts w:hint="eastAsia" w:ascii="宋体" w:hAnsi="宋体"/>
                <w:sz w:val="21"/>
                <w:szCs w:val="21"/>
              </w:rPr>
              <w:t>”、“</w:t>
            </w:r>
            <w:r>
              <w:rPr>
                <w:sz w:val="21"/>
                <w:szCs w:val="21"/>
              </w:rPr>
              <w:t>D</w:t>
            </w:r>
            <w:r>
              <w:rPr>
                <w:rFonts w:hint="eastAsia" w:ascii="宋体" w:hAnsi="宋体"/>
                <w:sz w:val="21"/>
                <w:szCs w:val="21"/>
              </w:rPr>
              <w:t>”四个等级，具体如下表所示：</w:t>
            </w:r>
          </w:p>
          <w:tbl>
            <w:tblPr>
              <w:tblStyle w:val="11"/>
              <w:tblW w:w="6006"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1050"/>
              <w:gridCol w:w="1320"/>
              <w:gridCol w:w="1095"/>
              <w:gridCol w:w="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1596" w:type="dxa"/>
                  <w:tcBorders>
                    <w:top w:val="single" w:color="auto" w:sz="4" w:space="0"/>
                    <w:left w:val="single" w:color="auto" w:sz="4" w:space="0"/>
                    <w:bottom w:val="single" w:color="auto" w:sz="4" w:space="0"/>
                    <w:right w:val="single" w:color="auto" w:sz="4" w:space="0"/>
                  </w:tcBorders>
                  <w:shd w:val="clear" w:color="auto" w:fill="F2F2F2"/>
                  <w:vAlign w:val="center"/>
                </w:tcPr>
                <w:p>
                  <w:pPr>
                    <w:jc w:val="center"/>
                    <w:rPr>
                      <w:b/>
                      <w:kern w:val="0"/>
                      <w:sz w:val="21"/>
                      <w:szCs w:val="21"/>
                    </w:rPr>
                  </w:pPr>
                  <w:r>
                    <w:rPr>
                      <w:rFonts w:ascii="宋体" w:hAnsi="宋体"/>
                      <w:b/>
                      <w:kern w:val="0"/>
                      <w:sz w:val="21"/>
                      <w:szCs w:val="21"/>
                    </w:rPr>
                    <w:t>考核</w:t>
                  </w:r>
                  <w:r>
                    <w:rPr>
                      <w:rFonts w:hint="eastAsia" w:ascii="宋体" w:hAnsi="宋体"/>
                      <w:b/>
                      <w:kern w:val="0"/>
                      <w:sz w:val="21"/>
                      <w:szCs w:val="21"/>
                    </w:rPr>
                    <w:t>等级</w:t>
                  </w:r>
                </w:p>
              </w:tc>
              <w:tc>
                <w:tcPr>
                  <w:tcW w:w="1050" w:type="dxa"/>
                  <w:tcBorders>
                    <w:top w:val="single" w:color="auto" w:sz="4" w:space="0"/>
                    <w:left w:val="single" w:color="auto" w:sz="4" w:space="0"/>
                    <w:bottom w:val="single" w:color="auto" w:sz="4" w:space="0"/>
                    <w:right w:val="single" w:color="auto" w:sz="4" w:space="0"/>
                  </w:tcBorders>
                  <w:shd w:val="clear" w:color="auto" w:fill="F2F2F2"/>
                  <w:vAlign w:val="center"/>
                </w:tcPr>
                <w:p>
                  <w:pPr>
                    <w:jc w:val="center"/>
                    <w:rPr>
                      <w:b/>
                      <w:kern w:val="0"/>
                      <w:sz w:val="21"/>
                      <w:szCs w:val="21"/>
                    </w:rPr>
                  </w:pPr>
                  <w:r>
                    <w:rPr>
                      <w:b/>
                      <w:kern w:val="0"/>
                      <w:sz w:val="21"/>
                      <w:szCs w:val="21"/>
                    </w:rPr>
                    <w:t>A</w:t>
                  </w:r>
                </w:p>
              </w:tc>
              <w:tc>
                <w:tcPr>
                  <w:tcW w:w="1320" w:type="dxa"/>
                  <w:tcBorders>
                    <w:top w:val="single" w:color="auto" w:sz="4" w:space="0"/>
                    <w:left w:val="single" w:color="auto" w:sz="4" w:space="0"/>
                    <w:bottom w:val="single" w:color="auto" w:sz="4" w:space="0"/>
                    <w:right w:val="single" w:color="auto" w:sz="4" w:space="0"/>
                  </w:tcBorders>
                  <w:shd w:val="clear" w:color="auto" w:fill="F2F2F2"/>
                  <w:vAlign w:val="center"/>
                </w:tcPr>
                <w:p>
                  <w:pPr>
                    <w:jc w:val="center"/>
                    <w:rPr>
                      <w:b/>
                      <w:kern w:val="0"/>
                      <w:sz w:val="21"/>
                      <w:szCs w:val="21"/>
                    </w:rPr>
                  </w:pPr>
                  <w:r>
                    <w:rPr>
                      <w:b/>
                      <w:kern w:val="0"/>
                      <w:sz w:val="21"/>
                      <w:szCs w:val="21"/>
                    </w:rPr>
                    <w:t>B</w:t>
                  </w:r>
                </w:p>
              </w:tc>
              <w:tc>
                <w:tcPr>
                  <w:tcW w:w="1095" w:type="dxa"/>
                  <w:tcBorders>
                    <w:top w:val="single" w:color="auto" w:sz="4" w:space="0"/>
                    <w:left w:val="single" w:color="auto" w:sz="4" w:space="0"/>
                    <w:bottom w:val="single" w:color="auto" w:sz="4" w:space="0"/>
                    <w:right w:val="single" w:color="auto" w:sz="4" w:space="0"/>
                  </w:tcBorders>
                  <w:shd w:val="clear" w:color="auto" w:fill="F2F2F2"/>
                  <w:vAlign w:val="center"/>
                </w:tcPr>
                <w:p>
                  <w:pPr>
                    <w:jc w:val="center"/>
                    <w:rPr>
                      <w:b/>
                      <w:kern w:val="0"/>
                      <w:sz w:val="21"/>
                      <w:szCs w:val="21"/>
                    </w:rPr>
                  </w:pPr>
                  <w:r>
                    <w:rPr>
                      <w:b/>
                      <w:kern w:val="0"/>
                      <w:sz w:val="21"/>
                      <w:szCs w:val="21"/>
                    </w:rPr>
                    <w:t>C</w:t>
                  </w:r>
                </w:p>
              </w:tc>
              <w:tc>
                <w:tcPr>
                  <w:tcW w:w="945" w:type="dxa"/>
                  <w:tcBorders>
                    <w:top w:val="single" w:color="auto" w:sz="4" w:space="0"/>
                    <w:left w:val="single" w:color="auto" w:sz="4" w:space="0"/>
                    <w:bottom w:val="single" w:color="auto" w:sz="4" w:space="0"/>
                    <w:right w:val="single" w:color="auto" w:sz="4" w:space="0"/>
                  </w:tcBorders>
                  <w:shd w:val="clear" w:color="auto" w:fill="F2F2F2"/>
                  <w:vAlign w:val="center"/>
                </w:tcPr>
                <w:p>
                  <w:pPr>
                    <w:jc w:val="center"/>
                    <w:rPr>
                      <w:b/>
                      <w:kern w:val="0"/>
                      <w:sz w:val="21"/>
                      <w:szCs w:val="21"/>
                    </w:rPr>
                  </w:pPr>
                  <w:r>
                    <w:rPr>
                      <w:b/>
                      <w:kern w:val="0"/>
                      <w:sz w:val="21"/>
                      <w:szCs w:val="21"/>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596" w:type="dxa"/>
                  <w:tcBorders>
                    <w:top w:val="single" w:color="auto" w:sz="4" w:space="0"/>
                    <w:left w:val="single" w:color="auto" w:sz="4" w:space="0"/>
                    <w:bottom w:val="single" w:color="auto" w:sz="4" w:space="0"/>
                    <w:right w:val="single" w:color="auto" w:sz="4" w:space="0"/>
                  </w:tcBorders>
                  <w:vAlign w:val="center"/>
                </w:tcPr>
                <w:p>
                  <w:pPr>
                    <w:jc w:val="center"/>
                    <w:rPr>
                      <w:kern w:val="0"/>
                      <w:sz w:val="21"/>
                      <w:szCs w:val="21"/>
                    </w:rPr>
                  </w:pPr>
                  <w:r>
                    <w:rPr>
                      <w:rFonts w:hint="eastAsia" w:ascii="宋体" w:hAnsi="宋体"/>
                      <w:kern w:val="0"/>
                      <w:sz w:val="21"/>
                      <w:szCs w:val="21"/>
                    </w:rPr>
                    <w:t>考核结果（</w:t>
                  </w:r>
                  <w:r>
                    <w:rPr>
                      <w:kern w:val="0"/>
                      <w:sz w:val="21"/>
                      <w:szCs w:val="21"/>
                    </w:rPr>
                    <w:t>S</w:t>
                  </w:r>
                  <w:r>
                    <w:rPr>
                      <w:rFonts w:hint="eastAsia" w:ascii="宋体" w:hAnsi="宋体"/>
                      <w:kern w:val="0"/>
                      <w:sz w:val="21"/>
                      <w:szCs w:val="21"/>
                    </w:rPr>
                    <w:t>）</w:t>
                  </w:r>
                </w:p>
              </w:tc>
              <w:tc>
                <w:tcPr>
                  <w:tcW w:w="1050" w:type="dxa"/>
                  <w:tcBorders>
                    <w:top w:val="single" w:color="auto" w:sz="4" w:space="0"/>
                    <w:left w:val="single" w:color="auto" w:sz="4" w:space="0"/>
                    <w:bottom w:val="single" w:color="auto" w:sz="4" w:space="0"/>
                    <w:right w:val="single" w:color="auto" w:sz="4" w:space="0"/>
                  </w:tcBorders>
                  <w:vAlign w:val="center"/>
                </w:tcPr>
                <w:p>
                  <w:pPr>
                    <w:jc w:val="center"/>
                    <w:rPr>
                      <w:kern w:val="0"/>
                      <w:sz w:val="21"/>
                      <w:szCs w:val="21"/>
                    </w:rPr>
                  </w:pPr>
                  <w:r>
                    <w:rPr>
                      <w:kern w:val="0"/>
                      <w:sz w:val="21"/>
                      <w:szCs w:val="21"/>
                    </w:rPr>
                    <w:t>S≥80</w:t>
                  </w:r>
                </w:p>
              </w:tc>
              <w:tc>
                <w:tcPr>
                  <w:tcW w:w="1320" w:type="dxa"/>
                  <w:tcBorders>
                    <w:top w:val="single" w:color="auto" w:sz="4" w:space="0"/>
                    <w:left w:val="single" w:color="auto" w:sz="4" w:space="0"/>
                    <w:bottom w:val="single" w:color="auto" w:sz="4" w:space="0"/>
                    <w:right w:val="single" w:color="auto" w:sz="4" w:space="0"/>
                  </w:tcBorders>
                  <w:vAlign w:val="center"/>
                </w:tcPr>
                <w:p>
                  <w:pPr>
                    <w:jc w:val="center"/>
                    <w:rPr>
                      <w:kern w:val="0"/>
                      <w:sz w:val="21"/>
                      <w:szCs w:val="21"/>
                    </w:rPr>
                  </w:pPr>
                  <w:r>
                    <w:rPr>
                      <w:rFonts w:hint="eastAsia"/>
                      <w:kern w:val="0"/>
                      <w:sz w:val="21"/>
                      <w:szCs w:val="21"/>
                    </w:rPr>
                    <w:t>70</w:t>
                  </w:r>
                  <w:r>
                    <w:rPr>
                      <w:rFonts w:hint="eastAsia" w:ascii="宋体" w:hAnsi="宋体"/>
                      <w:kern w:val="0"/>
                      <w:sz w:val="21"/>
                      <w:szCs w:val="21"/>
                    </w:rPr>
                    <w:t>≤</w:t>
                  </w:r>
                  <w:r>
                    <w:rPr>
                      <w:rFonts w:hint="eastAsia"/>
                      <w:kern w:val="0"/>
                      <w:sz w:val="21"/>
                      <w:szCs w:val="21"/>
                    </w:rPr>
                    <w:t>S</w:t>
                  </w:r>
                  <w:r>
                    <w:rPr>
                      <w:rFonts w:hint="eastAsia" w:ascii="宋体" w:hAnsi="宋体"/>
                      <w:kern w:val="0"/>
                      <w:sz w:val="21"/>
                      <w:szCs w:val="21"/>
                    </w:rPr>
                    <w:t>＜</w:t>
                  </w:r>
                  <w:r>
                    <w:rPr>
                      <w:kern w:val="0"/>
                      <w:sz w:val="21"/>
                      <w:szCs w:val="21"/>
                    </w:rPr>
                    <w:t>80</w:t>
                  </w:r>
                </w:p>
              </w:tc>
              <w:tc>
                <w:tcPr>
                  <w:tcW w:w="1095" w:type="dxa"/>
                  <w:tcBorders>
                    <w:top w:val="single" w:color="auto" w:sz="4" w:space="0"/>
                    <w:left w:val="single" w:color="auto" w:sz="4" w:space="0"/>
                    <w:bottom w:val="single" w:color="auto" w:sz="4" w:space="0"/>
                    <w:right w:val="single" w:color="auto" w:sz="4" w:space="0"/>
                  </w:tcBorders>
                  <w:vAlign w:val="center"/>
                </w:tcPr>
                <w:p>
                  <w:pPr>
                    <w:jc w:val="center"/>
                    <w:rPr>
                      <w:kern w:val="0"/>
                      <w:sz w:val="21"/>
                      <w:szCs w:val="21"/>
                    </w:rPr>
                  </w:pPr>
                  <w:r>
                    <w:rPr>
                      <w:rFonts w:hint="eastAsia"/>
                      <w:kern w:val="0"/>
                      <w:sz w:val="21"/>
                      <w:szCs w:val="21"/>
                    </w:rPr>
                    <w:t>60</w:t>
                  </w:r>
                  <w:r>
                    <w:rPr>
                      <w:rFonts w:hint="eastAsia" w:ascii="宋体" w:hAnsi="宋体"/>
                      <w:kern w:val="0"/>
                      <w:sz w:val="21"/>
                      <w:szCs w:val="21"/>
                    </w:rPr>
                    <w:t>≤</w:t>
                  </w:r>
                  <w:r>
                    <w:rPr>
                      <w:rFonts w:hint="eastAsia"/>
                      <w:kern w:val="0"/>
                      <w:sz w:val="21"/>
                      <w:szCs w:val="21"/>
                    </w:rPr>
                    <w:t>S</w:t>
                  </w:r>
                  <w:r>
                    <w:rPr>
                      <w:rFonts w:hint="eastAsia" w:ascii="宋体" w:hAnsi="宋体"/>
                      <w:kern w:val="0"/>
                      <w:sz w:val="21"/>
                      <w:szCs w:val="21"/>
                    </w:rPr>
                    <w:t>＜</w:t>
                  </w:r>
                  <w:r>
                    <w:rPr>
                      <w:kern w:val="0"/>
                      <w:sz w:val="21"/>
                      <w:szCs w:val="21"/>
                    </w:rPr>
                    <w:t>70</w:t>
                  </w:r>
                </w:p>
              </w:tc>
              <w:tc>
                <w:tcPr>
                  <w:tcW w:w="945" w:type="dxa"/>
                  <w:tcBorders>
                    <w:top w:val="single" w:color="auto" w:sz="4" w:space="0"/>
                    <w:left w:val="single" w:color="auto" w:sz="4" w:space="0"/>
                    <w:bottom w:val="single" w:color="auto" w:sz="4" w:space="0"/>
                    <w:right w:val="single" w:color="auto" w:sz="4" w:space="0"/>
                  </w:tcBorders>
                  <w:vAlign w:val="center"/>
                </w:tcPr>
                <w:p>
                  <w:pPr>
                    <w:jc w:val="center"/>
                    <w:rPr>
                      <w:kern w:val="0"/>
                      <w:sz w:val="21"/>
                      <w:szCs w:val="21"/>
                    </w:rPr>
                  </w:pPr>
                  <w:r>
                    <w:rPr>
                      <w:kern w:val="0"/>
                      <w:sz w:val="21"/>
                      <w:szCs w:val="21"/>
                    </w:rPr>
                    <w:t>S</w:t>
                  </w:r>
                  <w:r>
                    <w:rPr>
                      <w:rFonts w:hint="eastAsia" w:ascii="宋体" w:hAnsi="宋体"/>
                      <w:kern w:val="0"/>
                      <w:sz w:val="21"/>
                      <w:szCs w:val="21"/>
                    </w:rPr>
                    <w:t>＜</w:t>
                  </w:r>
                  <w:r>
                    <w:rPr>
                      <w:kern w:val="0"/>
                      <w:sz w:val="21"/>
                      <w:szCs w:val="21"/>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596" w:type="dxa"/>
                  <w:tcBorders>
                    <w:top w:val="single" w:color="auto" w:sz="4" w:space="0"/>
                    <w:left w:val="single" w:color="auto" w:sz="4" w:space="0"/>
                    <w:bottom w:val="single" w:color="auto" w:sz="4" w:space="0"/>
                    <w:right w:val="single" w:color="auto" w:sz="4" w:space="0"/>
                  </w:tcBorders>
                  <w:vAlign w:val="center"/>
                </w:tcPr>
                <w:p>
                  <w:pPr>
                    <w:jc w:val="center"/>
                    <w:rPr>
                      <w:kern w:val="0"/>
                      <w:sz w:val="21"/>
                      <w:szCs w:val="21"/>
                    </w:rPr>
                  </w:pPr>
                  <w:r>
                    <w:rPr>
                      <w:rFonts w:hint="eastAsia" w:ascii="宋体" w:hAnsi="宋体"/>
                      <w:kern w:val="0"/>
                      <w:sz w:val="21"/>
                      <w:szCs w:val="21"/>
                    </w:rPr>
                    <w:t>个人解除限售比例</w:t>
                  </w:r>
                </w:p>
              </w:tc>
              <w:tc>
                <w:tcPr>
                  <w:tcW w:w="1050" w:type="dxa"/>
                  <w:tcBorders>
                    <w:top w:val="single" w:color="auto" w:sz="4" w:space="0"/>
                    <w:left w:val="single" w:color="auto" w:sz="4" w:space="0"/>
                    <w:bottom w:val="single" w:color="auto" w:sz="4" w:space="0"/>
                    <w:right w:val="single" w:color="auto" w:sz="4" w:space="0"/>
                  </w:tcBorders>
                  <w:vAlign w:val="center"/>
                </w:tcPr>
                <w:p>
                  <w:pPr>
                    <w:jc w:val="center"/>
                    <w:rPr>
                      <w:kern w:val="0"/>
                      <w:sz w:val="21"/>
                      <w:szCs w:val="21"/>
                    </w:rPr>
                  </w:pPr>
                  <w:r>
                    <w:rPr>
                      <w:kern w:val="0"/>
                      <w:sz w:val="21"/>
                      <w:szCs w:val="21"/>
                    </w:rPr>
                    <w:t>100%</w:t>
                  </w:r>
                </w:p>
              </w:tc>
              <w:tc>
                <w:tcPr>
                  <w:tcW w:w="1320" w:type="dxa"/>
                  <w:tcBorders>
                    <w:top w:val="single" w:color="auto" w:sz="4" w:space="0"/>
                    <w:left w:val="single" w:color="auto" w:sz="4" w:space="0"/>
                    <w:bottom w:val="single" w:color="auto" w:sz="4" w:space="0"/>
                    <w:right w:val="single" w:color="auto" w:sz="4" w:space="0"/>
                  </w:tcBorders>
                  <w:vAlign w:val="center"/>
                </w:tcPr>
                <w:p>
                  <w:pPr>
                    <w:jc w:val="center"/>
                    <w:rPr>
                      <w:kern w:val="0"/>
                      <w:sz w:val="21"/>
                      <w:szCs w:val="21"/>
                    </w:rPr>
                  </w:pPr>
                  <w:r>
                    <w:rPr>
                      <w:kern w:val="0"/>
                      <w:sz w:val="21"/>
                      <w:szCs w:val="21"/>
                    </w:rPr>
                    <w:t>80%</w:t>
                  </w:r>
                </w:p>
              </w:tc>
              <w:tc>
                <w:tcPr>
                  <w:tcW w:w="1095" w:type="dxa"/>
                  <w:tcBorders>
                    <w:top w:val="single" w:color="auto" w:sz="4" w:space="0"/>
                    <w:left w:val="single" w:color="auto" w:sz="4" w:space="0"/>
                    <w:bottom w:val="single" w:color="auto" w:sz="4" w:space="0"/>
                    <w:right w:val="single" w:color="auto" w:sz="4" w:space="0"/>
                  </w:tcBorders>
                  <w:vAlign w:val="center"/>
                </w:tcPr>
                <w:p>
                  <w:pPr>
                    <w:jc w:val="center"/>
                    <w:rPr>
                      <w:kern w:val="0"/>
                      <w:sz w:val="21"/>
                      <w:szCs w:val="21"/>
                    </w:rPr>
                  </w:pPr>
                  <w:r>
                    <w:rPr>
                      <w:kern w:val="0"/>
                      <w:sz w:val="21"/>
                      <w:szCs w:val="21"/>
                    </w:rPr>
                    <w:t>60%</w:t>
                  </w:r>
                </w:p>
              </w:tc>
              <w:tc>
                <w:tcPr>
                  <w:tcW w:w="945" w:type="dxa"/>
                  <w:tcBorders>
                    <w:top w:val="single" w:color="auto" w:sz="4" w:space="0"/>
                    <w:left w:val="single" w:color="auto" w:sz="4" w:space="0"/>
                    <w:bottom w:val="single" w:color="auto" w:sz="4" w:space="0"/>
                    <w:right w:val="single" w:color="auto" w:sz="4" w:space="0"/>
                  </w:tcBorders>
                  <w:vAlign w:val="center"/>
                </w:tcPr>
                <w:p>
                  <w:pPr>
                    <w:jc w:val="center"/>
                    <w:rPr>
                      <w:kern w:val="0"/>
                      <w:sz w:val="21"/>
                      <w:szCs w:val="21"/>
                    </w:rPr>
                  </w:pPr>
                  <w:r>
                    <w:rPr>
                      <w:kern w:val="0"/>
                      <w:sz w:val="21"/>
                      <w:szCs w:val="21"/>
                    </w:rPr>
                    <w:t>0%</w:t>
                  </w:r>
                </w:p>
              </w:tc>
            </w:tr>
          </w:tbl>
          <w:p>
            <w:pPr>
              <w:ind w:firstLine="420" w:firstLineChars="200"/>
              <w:rPr>
                <w:sz w:val="21"/>
                <w:szCs w:val="21"/>
              </w:rPr>
            </w:pPr>
            <w:r>
              <w:rPr>
                <w:rFonts w:hint="eastAsia" w:ascii="宋体" w:hAnsi="宋体"/>
                <w:sz w:val="21"/>
                <w:szCs w:val="21"/>
              </w:rPr>
              <w:t>个人当年可解除限售额度</w:t>
            </w:r>
            <w:r>
              <w:rPr>
                <w:sz w:val="21"/>
                <w:szCs w:val="21"/>
              </w:rPr>
              <w:t>=</w:t>
            </w:r>
            <w:r>
              <w:rPr>
                <w:rFonts w:hint="eastAsia" w:ascii="宋体" w:hAnsi="宋体"/>
                <w:sz w:val="21"/>
                <w:szCs w:val="21"/>
              </w:rPr>
              <w:t>个人当年计划解除限售额度×个人解除限售比例</w:t>
            </w:r>
          </w:p>
          <w:p>
            <w:pPr>
              <w:ind w:firstLine="420" w:firstLineChars="200"/>
              <w:rPr>
                <w:sz w:val="21"/>
                <w:szCs w:val="21"/>
              </w:rPr>
            </w:pPr>
            <w:r>
              <w:rPr>
                <w:rFonts w:hint="eastAsia" w:ascii="宋体" w:hAnsi="宋体"/>
                <w:sz w:val="21"/>
                <w:szCs w:val="21"/>
              </w:rPr>
              <w:t>在公司业绩目标达成的前提下，激励对象按照本计划规定比例解除限售其获授的限制性股票，激励对象考核当年不得解除限售部分的限制性股票，由公司按授予价格回购注销。</w:t>
            </w:r>
          </w:p>
        </w:tc>
        <w:tc>
          <w:tcPr>
            <w:tcW w:w="1751" w:type="dxa"/>
            <w:tcBorders>
              <w:top w:val="single" w:color="auto" w:sz="8" w:space="0"/>
              <w:left w:val="single" w:color="auto" w:sz="8" w:space="0"/>
              <w:bottom w:val="single" w:color="auto" w:sz="8" w:space="0"/>
              <w:right w:val="single" w:color="auto" w:sz="8" w:space="0"/>
            </w:tcBorders>
            <w:vAlign w:val="center"/>
          </w:tcPr>
          <w:p>
            <w:pPr>
              <w:rPr>
                <w:sz w:val="21"/>
                <w:szCs w:val="21"/>
              </w:rPr>
            </w:pPr>
            <w:r>
              <w:rPr>
                <w:rFonts w:hint="eastAsia" w:ascii="宋体" w:hAnsi="宋体"/>
                <w:sz w:val="21"/>
                <w:szCs w:val="21"/>
              </w:rPr>
              <w:t>首次授予部分第二个解除限售期仍在职的</w:t>
            </w:r>
            <w:r>
              <w:rPr>
                <w:sz w:val="21"/>
                <w:szCs w:val="21"/>
              </w:rPr>
              <w:t>10</w:t>
            </w:r>
            <w:r>
              <w:rPr>
                <w:rFonts w:hint="eastAsia"/>
                <w:sz w:val="21"/>
                <w:szCs w:val="21"/>
              </w:rPr>
              <w:t>0</w:t>
            </w:r>
            <w:r>
              <w:rPr>
                <w:rFonts w:hint="eastAsia" w:ascii="宋体" w:hAnsi="宋体"/>
                <w:sz w:val="21"/>
                <w:szCs w:val="21"/>
              </w:rPr>
              <w:t>名激励对象及预留授予部分第一个解除限售期仍在职的</w:t>
            </w:r>
            <w:r>
              <w:rPr>
                <w:rFonts w:hint="eastAsia"/>
                <w:sz w:val="21"/>
                <w:szCs w:val="21"/>
              </w:rPr>
              <w:t>16</w:t>
            </w:r>
            <w:r>
              <w:rPr>
                <w:rFonts w:hint="eastAsia" w:ascii="宋体" w:hAnsi="宋体"/>
                <w:sz w:val="21"/>
                <w:szCs w:val="21"/>
              </w:rPr>
              <w:t>名激励对象个人层面考核结果均在</w:t>
            </w:r>
            <w:r>
              <w:rPr>
                <w:sz w:val="21"/>
                <w:szCs w:val="21"/>
              </w:rPr>
              <w:t>80</w:t>
            </w:r>
            <w:r>
              <w:rPr>
                <w:rFonts w:hint="eastAsia" w:ascii="宋体" w:hAnsi="宋体"/>
                <w:sz w:val="21"/>
                <w:szCs w:val="21"/>
              </w:rPr>
              <w:t>分以上，考核等级为“</w:t>
            </w:r>
            <w:r>
              <w:rPr>
                <w:rFonts w:hint="eastAsia"/>
                <w:sz w:val="21"/>
                <w:szCs w:val="21"/>
              </w:rPr>
              <w:t>A</w:t>
            </w:r>
            <w:r>
              <w:rPr>
                <w:rFonts w:hint="eastAsia" w:ascii="宋体" w:hAnsi="宋体"/>
                <w:sz w:val="21"/>
                <w:szCs w:val="21"/>
              </w:rPr>
              <w:t>”以上，</w:t>
            </w:r>
            <w:r>
              <w:rPr>
                <w:rFonts w:ascii="宋体" w:hAnsi="宋体"/>
                <w:sz w:val="21"/>
                <w:szCs w:val="21"/>
              </w:rPr>
              <w:t>个人解除限售比例为</w:t>
            </w:r>
            <w:r>
              <w:rPr>
                <w:rFonts w:hint="eastAsia"/>
                <w:sz w:val="21"/>
                <w:szCs w:val="21"/>
              </w:rPr>
              <w:t>1</w:t>
            </w:r>
            <w:r>
              <w:rPr>
                <w:sz w:val="21"/>
                <w:szCs w:val="21"/>
              </w:rPr>
              <w:t>00%</w:t>
            </w:r>
            <w:r>
              <w:rPr>
                <w:rFonts w:hint="eastAsia" w:ascii="宋体" w:hAnsi="宋体"/>
                <w:sz w:val="21"/>
                <w:szCs w:val="21"/>
              </w:rPr>
              <w:t>。</w:t>
            </w:r>
          </w:p>
        </w:tc>
      </w:tr>
    </w:tbl>
    <w:p>
      <w:pPr>
        <w:spacing w:line="360" w:lineRule="auto"/>
        <w:ind w:firstLine="480" w:firstLineChars="200"/>
        <w:rPr>
          <w:rFonts w:ascii="宋体" w:hAnsi="宋体" w:cs="Times New Roman"/>
          <w:szCs w:val="24"/>
        </w:rPr>
      </w:pPr>
      <w:r>
        <w:rPr>
          <w:rFonts w:hint="eastAsia" w:ascii="宋体" w:hAnsi="宋体"/>
          <w:szCs w:val="24"/>
        </w:rPr>
        <w:t>综上，本次激励计划首次授予部分第二个解除限售期及预留授予部分第一个解除限售期解除限售条件已经成就。根据公司2022年第一次临时股东大会的授权，同意公司在限售期届满后按照本次激励计划的相关规定办理首次授予限制性股票第二个解除限售期及预留授予部分第一个解除限售期解除限售的相关事宜，不符合解除限售条件的限制性股票将由公司回购注销。</w:t>
      </w:r>
    </w:p>
    <w:p>
      <w:pPr>
        <w:spacing w:line="360" w:lineRule="auto"/>
        <w:ind w:firstLine="540"/>
        <w:rPr>
          <w:rFonts w:hint="eastAsia" w:ascii="宋体" w:hAnsi="宋体"/>
          <w:b/>
          <w:bCs/>
          <w:szCs w:val="24"/>
        </w:rPr>
      </w:pPr>
      <w:r>
        <w:rPr>
          <w:rFonts w:hint="eastAsia" w:ascii="宋体" w:hAnsi="宋体"/>
          <w:b/>
          <w:bCs/>
          <w:szCs w:val="24"/>
        </w:rPr>
        <w:t xml:space="preserve"> </w:t>
      </w:r>
    </w:p>
    <w:p>
      <w:pPr>
        <w:spacing w:line="360" w:lineRule="auto"/>
        <w:ind w:firstLine="540"/>
        <w:rPr>
          <w:rFonts w:hint="eastAsia" w:ascii="宋体" w:hAnsi="宋体"/>
          <w:b/>
          <w:bCs/>
          <w:szCs w:val="24"/>
        </w:rPr>
      </w:pPr>
      <w:r>
        <w:rPr>
          <w:rFonts w:hint="eastAsia" w:ascii="宋体" w:hAnsi="宋体"/>
          <w:b/>
          <w:bCs/>
          <w:szCs w:val="24"/>
        </w:rPr>
        <w:t>三、本次可解除限售限制性股票的激励对象及可解除限售限制性股票数量</w:t>
      </w:r>
    </w:p>
    <w:p>
      <w:pPr>
        <w:spacing w:line="360" w:lineRule="auto"/>
        <w:ind w:firstLine="480" w:firstLineChars="200"/>
        <w:rPr>
          <w:rFonts w:hint="eastAsia" w:ascii="宋体" w:hAnsi="宋体"/>
          <w:szCs w:val="24"/>
        </w:rPr>
      </w:pPr>
      <w:r>
        <w:rPr>
          <w:rFonts w:hint="eastAsia" w:ascii="宋体" w:hAnsi="宋体"/>
          <w:szCs w:val="24"/>
        </w:rPr>
        <w:t>根据本次激励计划的解除限售安排，本次符合解除限售条件的激励对象为116名，其中，符合首次授予部分第二个解除限售期解除限售条件的激励对象为100名，符合预留授予部分第一个解除限售期解除限售条件的激励对象为16名。本次可申请解除限售并上市流通的限制性股票数量为1,321,351股，约占公司目前总股本的0.19%，其中，首次授予部分第二个解除限售期解除限售的限制性股票数量为923,700股，约占公司目前总股本的0.13%，预留授予部分第一个解除限售期解除限售的限制性股票数量为397,651股，约占公司目前总股本的0.06%。具体如下：</w:t>
      </w:r>
    </w:p>
    <w:p>
      <w:pPr>
        <w:spacing w:line="360" w:lineRule="auto"/>
        <w:ind w:firstLine="482" w:firstLineChars="200"/>
        <w:rPr>
          <w:rFonts w:hint="eastAsia" w:ascii="宋体" w:hAnsi="宋体"/>
          <w:b/>
          <w:bCs/>
          <w:szCs w:val="24"/>
        </w:rPr>
      </w:pPr>
      <w:r>
        <w:rPr>
          <w:rFonts w:hint="eastAsia" w:ascii="宋体" w:hAnsi="宋体"/>
          <w:b/>
          <w:bCs/>
          <w:szCs w:val="24"/>
        </w:rPr>
        <w:t>（一）首次授予部分限制性股票第二个限售期解除限售情况</w:t>
      </w:r>
    </w:p>
    <w:tbl>
      <w:tblPr>
        <w:tblStyle w:val="12"/>
        <w:tblW w:w="8580"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27"/>
        <w:gridCol w:w="1961"/>
        <w:gridCol w:w="2764"/>
        <w:gridCol w:w="152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7" w:hRule="atLeast"/>
        </w:trPr>
        <w:tc>
          <w:tcPr>
            <w:tcW w:w="2327"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sz w:val="21"/>
                <w:szCs w:val="21"/>
              </w:rPr>
            </w:pPr>
            <w:r>
              <w:rPr>
                <w:rFonts w:hint="eastAsia" w:ascii="宋体" w:hAnsi="宋体"/>
                <w:b/>
                <w:bCs/>
                <w:kern w:val="0"/>
              </w:rPr>
              <w:t>职务</w:t>
            </w:r>
          </w:p>
        </w:tc>
        <w:tc>
          <w:tcPr>
            <w:tcW w:w="1961"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b/>
                <w:bCs/>
              </w:rPr>
            </w:pPr>
            <w:r>
              <w:rPr>
                <w:rFonts w:hint="eastAsia" w:ascii="宋体" w:hAnsi="宋体"/>
                <w:b/>
                <w:bCs/>
              </w:rPr>
              <w:t>获授的限制性股</w:t>
            </w:r>
          </w:p>
          <w:p>
            <w:pPr>
              <w:snapToGrid w:val="0"/>
              <w:jc w:val="center"/>
              <w:rPr>
                <w:rFonts w:hint="eastAsia" w:ascii="宋体" w:hAnsi="宋体"/>
              </w:rPr>
            </w:pPr>
            <w:r>
              <w:rPr>
                <w:rFonts w:hint="eastAsia" w:ascii="宋体" w:hAnsi="宋体"/>
                <w:b/>
                <w:bCs/>
              </w:rPr>
              <w:t>票数量（万股）</w:t>
            </w:r>
          </w:p>
        </w:tc>
        <w:tc>
          <w:tcPr>
            <w:tcW w:w="2764"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b/>
                <w:bCs/>
              </w:rPr>
            </w:pPr>
            <w:r>
              <w:rPr>
                <w:rFonts w:hint="eastAsia" w:ascii="宋体" w:hAnsi="宋体"/>
                <w:b/>
                <w:bCs/>
              </w:rPr>
              <w:t>本次可解除限售的限制</w:t>
            </w:r>
          </w:p>
          <w:p>
            <w:pPr>
              <w:snapToGrid w:val="0"/>
              <w:jc w:val="center"/>
              <w:rPr>
                <w:rFonts w:hint="eastAsia" w:ascii="宋体" w:hAnsi="宋体"/>
              </w:rPr>
            </w:pPr>
            <w:r>
              <w:rPr>
                <w:rFonts w:hint="eastAsia" w:ascii="宋体" w:hAnsi="宋体"/>
                <w:b/>
                <w:bCs/>
              </w:rPr>
              <w:t>性股票数量（万股）</w:t>
            </w:r>
          </w:p>
        </w:tc>
        <w:tc>
          <w:tcPr>
            <w:tcW w:w="1528"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rPr>
            </w:pPr>
            <w:r>
              <w:rPr>
                <w:rFonts w:hint="eastAsia" w:ascii="宋体" w:hAnsi="宋体"/>
                <w:b/>
                <w:bCs/>
              </w:rPr>
              <w:t>占其获授限制性股票的比例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71" w:hRule="atLeast"/>
        </w:trPr>
        <w:tc>
          <w:tcPr>
            <w:tcW w:w="232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rPr>
            </w:pPr>
            <w:r>
              <w:rPr>
                <w:rFonts w:hint="eastAsia" w:ascii="宋体" w:hAnsi="宋体"/>
              </w:rPr>
              <w:t>核心技术人员及核心业务人员（100人）</w:t>
            </w:r>
          </w:p>
        </w:tc>
        <w:tc>
          <w:tcPr>
            <w:tcW w:w="196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rPr>
            </w:pPr>
            <w:r>
              <w:rPr>
                <w:rFonts w:hint="eastAsia" w:ascii="宋体" w:hAnsi="宋体"/>
              </w:rPr>
              <w:t>307.9000</w:t>
            </w:r>
          </w:p>
        </w:tc>
        <w:tc>
          <w:tcPr>
            <w:tcW w:w="276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rPr>
            </w:pPr>
            <w:r>
              <w:rPr>
                <w:rFonts w:hint="eastAsia" w:ascii="宋体" w:hAnsi="宋体"/>
              </w:rPr>
              <w:t>92.3700</w:t>
            </w:r>
          </w:p>
        </w:tc>
        <w:tc>
          <w:tcPr>
            <w:tcW w:w="152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rPr>
            </w:pPr>
            <w:r>
              <w:rPr>
                <w:rFonts w:hint="eastAsia" w:ascii="宋体" w:hAnsi="宋体"/>
              </w:rPr>
              <w:t>30%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trPr>
        <w:tc>
          <w:tcPr>
            <w:tcW w:w="232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rPr>
            </w:pPr>
            <w:r>
              <w:rPr>
                <w:rFonts w:hint="eastAsia" w:ascii="宋体" w:hAnsi="宋体"/>
              </w:rPr>
              <w:t>合计</w:t>
            </w:r>
          </w:p>
        </w:tc>
        <w:tc>
          <w:tcPr>
            <w:tcW w:w="196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rPr>
            </w:pPr>
            <w:r>
              <w:rPr>
                <w:rFonts w:hint="eastAsia" w:ascii="宋体" w:hAnsi="宋体"/>
              </w:rPr>
              <w:t>307.9000</w:t>
            </w:r>
          </w:p>
        </w:tc>
        <w:tc>
          <w:tcPr>
            <w:tcW w:w="276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rPr>
            </w:pPr>
            <w:r>
              <w:rPr>
                <w:rFonts w:hint="eastAsia" w:ascii="宋体" w:hAnsi="宋体"/>
              </w:rPr>
              <w:t>92.3700</w:t>
            </w:r>
          </w:p>
        </w:tc>
        <w:tc>
          <w:tcPr>
            <w:tcW w:w="152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rPr>
            </w:pPr>
            <w:r>
              <w:rPr>
                <w:rFonts w:hint="eastAsia" w:ascii="宋体" w:hAnsi="宋体"/>
              </w:rPr>
              <w:t>30%</w:t>
            </w:r>
          </w:p>
        </w:tc>
      </w:tr>
    </w:tbl>
    <w:p>
      <w:pPr>
        <w:ind w:firstLine="360" w:firstLineChars="200"/>
        <w:rPr>
          <w:rFonts w:hint="eastAsia" w:ascii="Times New Roman" w:hAnsi="Times New Roman" w:cs="Times New Roman"/>
          <w:sz w:val="18"/>
          <w:szCs w:val="18"/>
        </w:rPr>
      </w:pPr>
      <w:r>
        <w:rPr>
          <w:rFonts w:hint="eastAsia" w:ascii="宋体" w:hAnsi="宋体"/>
          <w:sz w:val="18"/>
          <w:szCs w:val="18"/>
        </w:rPr>
        <w:t>注：</w:t>
      </w:r>
      <w:r>
        <w:rPr>
          <w:sz w:val="18"/>
          <w:szCs w:val="18"/>
        </w:rPr>
        <w:t>1</w:t>
      </w:r>
      <w:r>
        <w:rPr>
          <w:rFonts w:hint="eastAsia" w:ascii="宋体" w:hAnsi="宋体"/>
          <w:sz w:val="18"/>
          <w:szCs w:val="18"/>
        </w:rPr>
        <w:t>、</w:t>
      </w:r>
      <w:r>
        <w:rPr>
          <w:sz w:val="18"/>
          <w:szCs w:val="18"/>
        </w:rPr>
        <w:t>2023</w:t>
      </w:r>
      <w:r>
        <w:rPr>
          <w:rFonts w:hint="eastAsia" w:ascii="宋体" w:hAnsi="宋体"/>
          <w:sz w:val="18"/>
          <w:szCs w:val="18"/>
        </w:rPr>
        <w:t>年</w:t>
      </w:r>
      <w:r>
        <w:rPr>
          <w:sz w:val="18"/>
          <w:szCs w:val="18"/>
        </w:rPr>
        <w:t>1</w:t>
      </w:r>
      <w:r>
        <w:rPr>
          <w:rFonts w:hint="eastAsia" w:ascii="宋体" w:hAnsi="宋体"/>
          <w:sz w:val="18"/>
          <w:szCs w:val="18"/>
        </w:rPr>
        <w:t>月</w:t>
      </w:r>
      <w:r>
        <w:rPr>
          <w:sz w:val="18"/>
          <w:szCs w:val="18"/>
        </w:rPr>
        <w:t>12</w:t>
      </w:r>
      <w:r>
        <w:rPr>
          <w:rFonts w:hint="eastAsia" w:ascii="宋体" w:hAnsi="宋体"/>
          <w:sz w:val="18"/>
          <w:szCs w:val="18"/>
        </w:rPr>
        <w:t>日公司已完成了</w:t>
      </w:r>
      <w:r>
        <w:rPr>
          <w:sz w:val="18"/>
          <w:szCs w:val="18"/>
        </w:rPr>
        <w:t>4</w:t>
      </w:r>
      <w:r>
        <w:rPr>
          <w:rFonts w:hint="eastAsia" w:ascii="宋体" w:hAnsi="宋体"/>
          <w:sz w:val="18"/>
          <w:szCs w:val="18"/>
        </w:rPr>
        <w:t>名已离职激励对象已获授但尚未解除限售的</w:t>
      </w:r>
      <w:r>
        <w:rPr>
          <w:sz w:val="18"/>
          <w:szCs w:val="18"/>
        </w:rPr>
        <w:t>50,000</w:t>
      </w:r>
      <w:r>
        <w:rPr>
          <w:rFonts w:hint="eastAsia" w:ascii="宋体" w:hAnsi="宋体"/>
          <w:sz w:val="18"/>
          <w:szCs w:val="18"/>
        </w:rPr>
        <w:t>股限制性股票的回购注销手续；</w:t>
      </w:r>
      <w:r>
        <w:rPr>
          <w:sz w:val="18"/>
          <w:szCs w:val="18"/>
        </w:rPr>
        <w:t>2023</w:t>
      </w:r>
      <w:r>
        <w:rPr>
          <w:rFonts w:hint="eastAsia" w:ascii="宋体" w:hAnsi="宋体"/>
          <w:sz w:val="18"/>
          <w:szCs w:val="18"/>
        </w:rPr>
        <w:t>年</w:t>
      </w:r>
      <w:r>
        <w:rPr>
          <w:rFonts w:hint="eastAsia"/>
          <w:sz w:val="18"/>
          <w:szCs w:val="18"/>
        </w:rPr>
        <w:t>7</w:t>
      </w:r>
      <w:r>
        <w:rPr>
          <w:rFonts w:hint="eastAsia" w:ascii="宋体" w:hAnsi="宋体"/>
          <w:sz w:val="18"/>
          <w:szCs w:val="18"/>
        </w:rPr>
        <w:t>月</w:t>
      </w:r>
      <w:r>
        <w:rPr>
          <w:sz w:val="18"/>
          <w:szCs w:val="18"/>
        </w:rPr>
        <w:t>1</w:t>
      </w:r>
      <w:r>
        <w:rPr>
          <w:rFonts w:hint="eastAsia"/>
          <w:sz w:val="18"/>
          <w:szCs w:val="18"/>
        </w:rPr>
        <w:t>7</w:t>
      </w:r>
      <w:r>
        <w:rPr>
          <w:rFonts w:hint="eastAsia" w:ascii="宋体" w:hAnsi="宋体"/>
          <w:sz w:val="18"/>
          <w:szCs w:val="18"/>
        </w:rPr>
        <w:t>日公司已完成了</w:t>
      </w:r>
      <w:r>
        <w:rPr>
          <w:rFonts w:hint="eastAsia"/>
          <w:sz w:val="18"/>
          <w:szCs w:val="18"/>
        </w:rPr>
        <w:t>2</w:t>
      </w:r>
      <w:r>
        <w:rPr>
          <w:rFonts w:hint="eastAsia" w:ascii="宋体" w:hAnsi="宋体"/>
          <w:sz w:val="18"/>
          <w:szCs w:val="18"/>
        </w:rPr>
        <w:t>名已离职激励对象已获授但尚未解除限售的</w:t>
      </w:r>
      <w:r>
        <w:rPr>
          <w:rFonts w:hint="eastAsia"/>
          <w:sz w:val="18"/>
          <w:szCs w:val="18"/>
        </w:rPr>
        <w:t>38</w:t>
      </w:r>
      <w:r>
        <w:rPr>
          <w:sz w:val="18"/>
          <w:szCs w:val="18"/>
        </w:rPr>
        <w:t>,000</w:t>
      </w:r>
      <w:r>
        <w:rPr>
          <w:rFonts w:hint="eastAsia" w:ascii="宋体" w:hAnsi="宋体"/>
          <w:sz w:val="18"/>
          <w:szCs w:val="18"/>
        </w:rPr>
        <w:t>股限制性股票的回购注销手续。</w:t>
      </w:r>
    </w:p>
    <w:p>
      <w:pPr>
        <w:ind w:firstLine="360" w:firstLineChars="200"/>
        <w:rPr>
          <w:sz w:val="18"/>
          <w:szCs w:val="18"/>
        </w:rPr>
      </w:pPr>
      <w:r>
        <w:rPr>
          <w:sz w:val="18"/>
          <w:szCs w:val="18"/>
        </w:rPr>
        <w:t>2</w:t>
      </w:r>
      <w:r>
        <w:rPr>
          <w:rFonts w:hint="eastAsia" w:ascii="宋体" w:hAnsi="宋体"/>
          <w:sz w:val="18"/>
          <w:szCs w:val="18"/>
        </w:rPr>
        <w:t>、公司后续将根据《上市公司股权激励管理办法》（以下简称</w:t>
      </w:r>
      <w:r>
        <w:rPr>
          <w:sz w:val="18"/>
          <w:szCs w:val="18"/>
        </w:rPr>
        <w:t>“</w:t>
      </w:r>
      <w:r>
        <w:rPr>
          <w:rFonts w:hint="eastAsia" w:ascii="宋体" w:hAnsi="宋体"/>
          <w:sz w:val="18"/>
          <w:szCs w:val="18"/>
        </w:rPr>
        <w:t>《管理办法》</w:t>
      </w:r>
      <w:r>
        <w:rPr>
          <w:sz w:val="18"/>
          <w:szCs w:val="18"/>
        </w:rPr>
        <w:t>”</w:t>
      </w:r>
      <w:r>
        <w:rPr>
          <w:rFonts w:hint="eastAsia" w:ascii="宋体" w:hAnsi="宋体"/>
          <w:sz w:val="18"/>
          <w:szCs w:val="18"/>
        </w:rPr>
        <w:t>）等相关规定办理</w:t>
      </w:r>
      <w:r>
        <w:rPr>
          <w:rFonts w:hint="eastAsia"/>
          <w:sz w:val="18"/>
          <w:szCs w:val="18"/>
        </w:rPr>
        <w:t>3</w:t>
      </w:r>
      <w:r>
        <w:rPr>
          <w:rFonts w:hint="eastAsia" w:ascii="宋体" w:hAnsi="宋体"/>
          <w:sz w:val="18"/>
          <w:szCs w:val="18"/>
        </w:rPr>
        <w:t>名已离职激励对象已获授但尚未解除限售的</w:t>
      </w:r>
      <w:r>
        <w:rPr>
          <w:rFonts w:hint="eastAsia"/>
          <w:sz w:val="18"/>
          <w:szCs w:val="18"/>
        </w:rPr>
        <w:t>75</w:t>
      </w:r>
      <w:r>
        <w:rPr>
          <w:sz w:val="18"/>
          <w:szCs w:val="18"/>
        </w:rPr>
        <w:t>,000</w:t>
      </w:r>
      <w:r>
        <w:rPr>
          <w:rFonts w:hint="eastAsia" w:ascii="宋体" w:hAnsi="宋体"/>
          <w:sz w:val="18"/>
          <w:szCs w:val="18"/>
        </w:rPr>
        <w:t>股限制性股票的回购注销工作。</w:t>
      </w:r>
    </w:p>
    <w:p>
      <w:pPr>
        <w:ind w:firstLine="360" w:firstLineChars="200"/>
        <w:rPr>
          <w:szCs w:val="24"/>
        </w:rPr>
      </w:pPr>
      <w:r>
        <w:rPr>
          <w:sz w:val="18"/>
          <w:szCs w:val="18"/>
        </w:rPr>
        <w:t>3</w:t>
      </w:r>
      <w:r>
        <w:rPr>
          <w:rFonts w:hint="eastAsia" w:ascii="宋体" w:hAnsi="宋体"/>
          <w:sz w:val="18"/>
          <w:szCs w:val="18"/>
        </w:rPr>
        <w:t>、上表已剔除离职激励对象获授的数量。</w:t>
      </w:r>
    </w:p>
    <w:p>
      <w:pPr>
        <w:spacing w:line="360" w:lineRule="auto"/>
        <w:ind w:firstLine="482" w:firstLineChars="200"/>
        <w:rPr>
          <w:rFonts w:ascii="宋体" w:hAnsi="宋体"/>
          <w:b/>
          <w:bCs/>
          <w:szCs w:val="24"/>
        </w:rPr>
      </w:pPr>
      <w:r>
        <w:rPr>
          <w:rFonts w:hint="eastAsia" w:ascii="宋体" w:hAnsi="宋体"/>
          <w:b/>
          <w:bCs/>
          <w:szCs w:val="24"/>
        </w:rPr>
        <w:t>（二）预留授予部分限制性股票第一个限售期解除限售情况</w:t>
      </w:r>
    </w:p>
    <w:tbl>
      <w:tblPr>
        <w:tblStyle w:val="12"/>
        <w:tblW w:w="8580"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402"/>
        <w:gridCol w:w="1886"/>
        <w:gridCol w:w="2764"/>
        <w:gridCol w:w="152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19" w:hRule="atLeast"/>
        </w:trPr>
        <w:tc>
          <w:tcPr>
            <w:tcW w:w="2402"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sz w:val="21"/>
                <w:szCs w:val="21"/>
              </w:rPr>
            </w:pPr>
            <w:r>
              <w:rPr>
                <w:rFonts w:hint="eastAsia" w:ascii="宋体" w:hAnsi="宋体"/>
                <w:b/>
                <w:bCs/>
                <w:kern w:val="0"/>
              </w:rPr>
              <w:t>职务</w:t>
            </w:r>
          </w:p>
        </w:tc>
        <w:tc>
          <w:tcPr>
            <w:tcW w:w="1886"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rPr>
            </w:pPr>
            <w:r>
              <w:rPr>
                <w:rFonts w:hint="eastAsia" w:ascii="宋体" w:hAnsi="宋体"/>
                <w:b/>
                <w:bCs/>
              </w:rPr>
              <w:t>获授的限制性股票数量（万股）</w:t>
            </w:r>
          </w:p>
        </w:tc>
        <w:tc>
          <w:tcPr>
            <w:tcW w:w="2764"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b/>
                <w:bCs/>
              </w:rPr>
            </w:pPr>
            <w:r>
              <w:rPr>
                <w:rFonts w:hint="eastAsia" w:ascii="宋体" w:hAnsi="宋体"/>
                <w:b/>
                <w:bCs/>
              </w:rPr>
              <w:t>本次可解除限售的限制</w:t>
            </w:r>
          </w:p>
          <w:p>
            <w:pPr>
              <w:snapToGrid w:val="0"/>
              <w:jc w:val="center"/>
              <w:rPr>
                <w:rFonts w:hint="eastAsia" w:ascii="宋体" w:hAnsi="宋体"/>
              </w:rPr>
            </w:pPr>
            <w:r>
              <w:rPr>
                <w:rFonts w:hint="eastAsia" w:ascii="宋体" w:hAnsi="宋体"/>
                <w:b/>
                <w:bCs/>
              </w:rPr>
              <w:t>性股票数量（万股）</w:t>
            </w:r>
          </w:p>
        </w:tc>
        <w:tc>
          <w:tcPr>
            <w:tcW w:w="1528"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rPr>
            </w:pPr>
            <w:r>
              <w:rPr>
                <w:rFonts w:hint="eastAsia" w:ascii="宋体" w:hAnsi="宋体"/>
                <w:b/>
                <w:bCs/>
              </w:rPr>
              <w:t>占其获授限制性股票的比例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71" w:hRule="atLeast"/>
        </w:trPr>
        <w:tc>
          <w:tcPr>
            <w:tcW w:w="240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rPr>
            </w:pPr>
            <w:r>
              <w:rPr>
                <w:rFonts w:hint="eastAsia" w:ascii="宋体" w:hAnsi="宋体"/>
              </w:rPr>
              <w:t>核心技术人员及核心业务人员（16人）</w:t>
            </w:r>
          </w:p>
        </w:tc>
        <w:tc>
          <w:tcPr>
            <w:tcW w:w="188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rPr>
            </w:pPr>
            <w:r>
              <w:rPr>
                <w:rFonts w:hint="eastAsia" w:ascii="宋体" w:hAnsi="宋体"/>
              </w:rPr>
              <w:t>79.5303</w:t>
            </w:r>
          </w:p>
        </w:tc>
        <w:tc>
          <w:tcPr>
            <w:tcW w:w="276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rPr>
            </w:pPr>
            <w:r>
              <w:rPr>
                <w:rFonts w:hint="eastAsia" w:ascii="宋体" w:hAnsi="宋体"/>
              </w:rPr>
              <w:t>39.7651</w:t>
            </w:r>
          </w:p>
        </w:tc>
        <w:tc>
          <w:tcPr>
            <w:tcW w:w="152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rPr>
            </w:pPr>
            <w:r>
              <w:rPr>
                <w:rFonts w:hint="eastAsia" w:ascii="宋体" w:hAnsi="宋体"/>
              </w:rPr>
              <w:t>50%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9" w:hRule="atLeast"/>
        </w:trPr>
        <w:tc>
          <w:tcPr>
            <w:tcW w:w="240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rPr>
            </w:pPr>
            <w:r>
              <w:rPr>
                <w:rFonts w:hint="eastAsia" w:ascii="宋体" w:hAnsi="宋体"/>
              </w:rPr>
              <w:t>合计</w:t>
            </w:r>
          </w:p>
        </w:tc>
        <w:tc>
          <w:tcPr>
            <w:tcW w:w="188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rPr>
            </w:pPr>
            <w:r>
              <w:rPr>
                <w:rFonts w:hint="eastAsia" w:ascii="宋体" w:hAnsi="宋体"/>
              </w:rPr>
              <w:t>79.5303</w:t>
            </w:r>
          </w:p>
        </w:tc>
        <w:tc>
          <w:tcPr>
            <w:tcW w:w="276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rPr>
            </w:pPr>
            <w:r>
              <w:rPr>
                <w:rFonts w:hint="eastAsia" w:ascii="宋体" w:hAnsi="宋体"/>
              </w:rPr>
              <w:t>39.7651</w:t>
            </w:r>
          </w:p>
        </w:tc>
        <w:tc>
          <w:tcPr>
            <w:tcW w:w="152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rPr>
            </w:pPr>
            <w:r>
              <w:rPr>
                <w:rFonts w:hint="eastAsia" w:ascii="宋体" w:hAnsi="宋体"/>
              </w:rPr>
              <w:t>50%</w:t>
            </w:r>
          </w:p>
        </w:tc>
      </w:tr>
    </w:tbl>
    <w:p>
      <w:pPr>
        <w:ind w:firstLine="360" w:firstLineChars="200"/>
        <w:rPr>
          <w:rFonts w:hint="eastAsia" w:ascii="Times New Roman" w:hAnsi="Times New Roman" w:cs="Times New Roman"/>
          <w:sz w:val="18"/>
          <w:szCs w:val="18"/>
        </w:rPr>
      </w:pPr>
      <w:r>
        <w:rPr>
          <w:rFonts w:hint="eastAsia" w:ascii="宋体" w:hAnsi="宋体"/>
          <w:sz w:val="18"/>
          <w:szCs w:val="18"/>
        </w:rPr>
        <w:t>注：</w:t>
      </w:r>
      <w:r>
        <w:rPr>
          <w:rFonts w:hint="eastAsia"/>
          <w:sz w:val="18"/>
          <w:szCs w:val="18"/>
        </w:rPr>
        <w:t>1</w:t>
      </w:r>
      <w:r>
        <w:rPr>
          <w:rFonts w:hint="eastAsia" w:ascii="宋体" w:hAnsi="宋体"/>
          <w:sz w:val="18"/>
          <w:szCs w:val="18"/>
        </w:rPr>
        <w:t>、公司后续将根据《管理办法》等相关规定办理</w:t>
      </w:r>
      <w:r>
        <w:rPr>
          <w:rFonts w:hint="eastAsia"/>
          <w:sz w:val="18"/>
          <w:szCs w:val="18"/>
        </w:rPr>
        <w:t>1</w:t>
      </w:r>
      <w:r>
        <w:rPr>
          <w:rFonts w:hint="eastAsia" w:ascii="宋体" w:hAnsi="宋体"/>
          <w:sz w:val="18"/>
          <w:szCs w:val="18"/>
        </w:rPr>
        <w:t>名已离职激励对象已获授但尚未解除限售的</w:t>
      </w:r>
      <w:r>
        <w:rPr>
          <w:rFonts w:hint="eastAsia"/>
          <w:sz w:val="18"/>
          <w:szCs w:val="18"/>
        </w:rPr>
        <w:t>10</w:t>
      </w:r>
      <w:r>
        <w:rPr>
          <w:sz w:val="18"/>
          <w:szCs w:val="18"/>
        </w:rPr>
        <w:t>,000</w:t>
      </w:r>
      <w:r>
        <w:rPr>
          <w:rFonts w:hint="eastAsia" w:ascii="宋体" w:hAnsi="宋体"/>
          <w:sz w:val="18"/>
          <w:szCs w:val="18"/>
        </w:rPr>
        <w:t>股限制性股票的回购注销工作。</w:t>
      </w:r>
    </w:p>
    <w:p>
      <w:pPr>
        <w:ind w:firstLine="360" w:firstLineChars="200"/>
        <w:rPr>
          <w:szCs w:val="24"/>
        </w:rPr>
      </w:pPr>
      <w:r>
        <w:rPr>
          <w:rFonts w:hint="eastAsia"/>
          <w:sz w:val="18"/>
          <w:szCs w:val="18"/>
        </w:rPr>
        <w:t>2</w:t>
      </w:r>
      <w:r>
        <w:rPr>
          <w:rFonts w:hint="eastAsia" w:ascii="宋体" w:hAnsi="宋体"/>
          <w:sz w:val="18"/>
          <w:szCs w:val="18"/>
        </w:rPr>
        <w:t>、上表已剔除离职激励对象获授的数量。</w:t>
      </w:r>
    </w:p>
    <w:p>
      <w:pPr>
        <w:spacing w:line="360" w:lineRule="auto"/>
        <w:ind w:firstLine="540"/>
        <w:rPr>
          <w:rFonts w:ascii="宋体" w:hAnsi="宋体"/>
          <w:szCs w:val="24"/>
        </w:rPr>
      </w:pPr>
      <w:r>
        <w:rPr>
          <w:rFonts w:hint="eastAsia" w:ascii="宋体" w:hAnsi="宋体"/>
          <w:szCs w:val="24"/>
        </w:rPr>
        <w:t xml:space="preserve"> </w:t>
      </w:r>
    </w:p>
    <w:p>
      <w:pPr>
        <w:spacing w:line="360" w:lineRule="auto"/>
        <w:ind w:firstLine="540"/>
        <w:rPr>
          <w:rFonts w:hint="eastAsia" w:ascii="宋体" w:hAnsi="宋体"/>
          <w:b/>
          <w:bCs/>
          <w:szCs w:val="24"/>
        </w:rPr>
      </w:pPr>
      <w:r>
        <w:rPr>
          <w:rFonts w:hint="eastAsia" w:ascii="宋体" w:hAnsi="宋体"/>
          <w:b/>
          <w:bCs/>
          <w:szCs w:val="24"/>
        </w:rPr>
        <w:t>四、本次解除限售的限制性股票上市流通安排及股本结构变动情况</w:t>
      </w:r>
    </w:p>
    <w:p>
      <w:pPr>
        <w:spacing w:line="360" w:lineRule="auto"/>
        <w:ind w:firstLine="480" w:firstLineChars="200"/>
        <w:rPr>
          <w:rFonts w:hint="eastAsia" w:ascii="宋体" w:hAnsi="宋体"/>
          <w:szCs w:val="24"/>
        </w:rPr>
      </w:pPr>
      <w:r>
        <w:rPr>
          <w:rFonts w:hint="eastAsia" w:ascii="宋体" w:hAnsi="宋体"/>
          <w:szCs w:val="24"/>
        </w:rPr>
        <w:t>（一）本次解除限售的限制性股票上市流通日：2024年5月20日</w:t>
      </w:r>
    </w:p>
    <w:p>
      <w:pPr>
        <w:spacing w:line="360" w:lineRule="auto"/>
        <w:ind w:firstLine="480" w:firstLineChars="200"/>
        <w:rPr>
          <w:rFonts w:hint="eastAsia" w:ascii="宋体" w:hAnsi="宋体"/>
          <w:szCs w:val="24"/>
        </w:rPr>
      </w:pPr>
      <w:r>
        <w:rPr>
          <w:rFonts w:hint="eastAsia" w:ascii="宋体" w:hAnsi="宋体"/>
          <w:szCs w:val="24"/>
        </w:rPr>
        <w:t>（二）本次解除限售的限制性股票上市流通数量：1,321,351股</w:t>
      </w:r>
    </w:p>
    <w:p>
      <w:pPr>
        <w:spacing w:line="360" w:lineRule="auto"/>
        <w:ind w:firstLine="540"/>
        <w:rPr>
          <w:rFonts w:hint="eastAsia" w:ascii="宋体" w:hAnsi="宋体"/>
          <w:szCs w:val="24"/>
        </w:rPr>
      </w:pPr>
      <w:r>
        <w:rPr>
          <w:rFonts w:hint="eastAsia" w:ascii="宋体" w:hAnsi="宋体"/>
          <w:szCs w:val="24"/>
        </w:rPr>
        <w:t>（三）董事和高级管理人员本次解除限售的限制性股票的锁定和转让限制</w:t>
      </w:r>
    </w:p>
    <w:p>
      <w:pPr>
        <w:spacing w:line="360" w:lineRule="auto"/>
        <w:ind w:firstLine="480" w:firstLineChars="200"/>
        <w:rPr>
          <w:rFonts w:hint="eastAsia" w:ascii="宋体" w:hAnsi="宋体"/>
          <w:szCs w:val="24"/>
        </w:rPr>
      </w:pPr>
      <w:r>
        <w:rPr>
          <w:rFonts w:hint="eastAsia" w:ascii="宋体" w:hAnsi="宋体"/>
          <w:szCs w:val="24"/>
        </w:rPr>
        <w:t>（1）激励对象为公司董事和高级管理人员的，其在任职期间每年转让的股份不得超过其所持有本公司股份总数的25%；在离职后半年内，不得转让其所持有的本公司股份。</w:t>
      </w:r>
    </w:p>
    <w:p>
      <w:pPr>
        <w:spacing w:line="360" w:lineRule="auto"/>
        <w:ind w:firstLine="540"/>
        <w:rPr>
          <w:rFonts w:hint="eastAsia" w:ascii="宋体" w:hAnsi="宋体"/>
          <w:szCs w:val="24"/>
        </w:rPr>
      </w:pPr>
      <w:r>
        <w:rPr>
          <w:rFonts w:hint="eastAsia" w:ascii="宋体" w:hAnsi="宋体"/>
          <w:szCs w:val="24"/>
        </w:rPr>
        <w:t>（2）激励对象为公司董事、高级管理人员及其配偶、父母、子女的，将其持有的本公司股票在买入后6个月内卖出，或者在卖出后6个月内又买入，由此所得收益归本公司所有，本公司董事会将收回其所得收益。</w:t>
      </w:r>
    </w:p>
    <w:p>
      <w:pPr>
        <w:spacing w:line="360" w:lineRule="auto"/>
        <w:ind w:firstLine="540"/>
        <w:rPr>
          <w:rFonts w:hint="eastAsia" w:ascii="宋体" w:hAnsi="宋体"/>
          <w:szCs w:val="24"/>
        </w:rPr>
      </w:pPr>
      <w:r>
        <w:rPr>
          <w:rFonts w:hint="eastAsia" w:ascii="宋体" w:hAnsi="宋体"/>
          <w:szCs w:val="24"/>
        </w:rPr>
        <w:t>（3）在本激励计划的有效期内，如果《公司法》《证券法》等相关法律、行政法规、规范性文件和《公司章程》中对公司董事和高级管理人员持有股份转让的有关规定发生了变化，则这部分激励对象转让其所持有的公司股票应当在转让时符合修改后的《公司法》《证券法》等相关法律、法规、规范性文件和《公司章程》的规定。</w:t>
      </w:r>
    </w:p>
    <w:p>
      <w:pPr>
        <w:spacing w:line="360" w:lineRule="auto"/>
        <w:ind w:firstLine="540"/>
        <w:rPr>
          <w:rFonts w:hint="eastAsia" w:ascii="宋体" w:hAnsi="宋体"/>
          <w:szCs w:val="24"/>
        </w:rPr>
      </w:pPr>
      <w:r>
        <w:rPr>
          <w:rFonts w:hint="eastAsia" w:ascii="宋体" w:hAnsi="宋体"/>
          <w:szCs w:val="24"/>
        </w:rPr>
        <w:t>（4）本次限制性股票解除限售后公司股本结构变动情况</w:t>
      </w:r>
    </w:p>
    <w:p>
      <w:pPr>
        <w:spacing w:line="360" w:lineRule="auto"/>
        <w:ind w:firstLine="540"/>
        <w:jc w:val="right"/>
        <w:rPr>
          <w:rFonts w:hint="eastAsia" w:ascii="宋体" w:hAnsi="宋体"/>
          <w:szCs w:val="24"/>
        </w:rPr>
      </w:pPr>
      <w:r>
        <w:rPr>
          <w:rFonts w:hint="eastAsia" w:ascii="宋体" w:hAnsi="宋体"/>
          <w:szCs w:val="24"/>
        </w:rPr>
        <w:t>单位：股</w:t>
      </w:r>
    </w:p>
    <w:tbl>
      <w:tblPr>
        <w:tblStyle w:val="12"/>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b/>
                <w:bCs/>
                <w:szCs w:val="24"/>
              </w:rPr>
            </w:pPr>
            <w:r>
              <w:rPr>
                <w:rFonts w:hint="eastAsia" w:ascii="宋体" w:hAnsi="宋体"/>
                <w:b/>
                <w:bCs/>
                <w:kern w:val="0"/>
                <w:szCs w:val="24"/>
              </w:rPr>
              <w:t>类别</w:t>
            </w:r>
          </w:p>
        </w:tc>
        <w:tc>
          <w:tcPr>
            <w:tcW w:w="2130"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b/>
                <w:bCs/>
                <w:szCs w:val="24"/>
              </w:rPr>
            </w:pPr>
            <w:r>
              <w:rPr>
                <w:rFonts w:hint="eastAsia" w:ascii="宋体" w:hAnsi="宋体"/>
                <w:b/>
                <w:bCs/>
                <w:kern w:val="0"/>
                <w:szCs w:val="24"/>
              </w:rPr>
              <w:t>变动前</w:t>
            </w:r>
          </w:p>
        </w:tc>
        <w:tc>
          <w:tcPr>
            <w:tcW w:w="2131" w:type="dxa"/>
            <w:tcBorders>
              <w:top w:val="single" w:color="auto" w:sz="4" w:space="0"/>
              <w:left w:val="single" w:color="auto" w:sz="4" w:space="0"/>
              <w:bottom w:val="single" w:color="auto" w:sz="4" w:space="0"/>
              <w:right w:val="single" w:color="auto" w:sz="4" w:space="0"/>
            </w:tcBorders>
          </w:tcPr>
          <w:p>
            <w:pPr>
              <w:spacing w:line="360" w:lineRule="auto"/>
              <w:jc w:val="center"/>
              <w:rPr>
                <w:rFonts w:hint="eastAsia" w:ascii="宋体" w:hAnsi="宋体"/>
                <w:b/>
                <w:bCs/>
                <w:szCs w:val="24"/>
              </w:rPr>
            </w:pPr>
            <w:r>
              <w:rPr>
                <w:rFonts w:hint="eastAsia" w:ascii="宋体" w:hAnsi="宋体"/>
                <w:b/>
                <w:bCs/>
                <w:szCs w:val="24"/>
              </w:rPr>
              <w:t>本次变动数</w:t>
            </w:r>
          </w:p>
        </w:tc>
        <w:tc>
          <w:tcPr>
            <w:tcW w:w="2131" w:type="dxa"/>
            <w:tcBorders>
              <w:top w:val="single" w:color="auto" w:sz="4" w:space="0"/>
              <w:left w:val="single" w:color="auto" w:sz="4" w:space="0"/>
              <w:bottom w:val="single" w:color="auto" w:sz="4" w:space="0"/>
              <w:right w:val="single" w:color="auto" w:sz="4" w:space="0"/>
            </w:tcBorders>
          </w:tcPr>
          <w:p>
            <w:pPr>
              <w:spacing w:line="360" w:lineRule="auto"/>
              <w:jc w:val="center"/>
              <w:rPr>
                <w:rFonts w:hint="eastAsia" w:ascii="宋体" w:hAnsi="宋体"/>
                <w:b/>
                <w:bCs/>
                <w:szCs w:val="24"/>
              </w:rPr>
            </w:pPr>
            <w:r>
              <w:rPr>
                <w:rFonts w:hint="eastAsia" w:ascii="宋体" w:hAnsi="宋体"/>
                <w:b/>
                <w:bCs/>
                <w:szCs w:val="24"/>
              </w:rPr>
              <w:t>本次变动后</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szCs w:val="24"/>
              </w:rPr>
            </w:pPr>
            <w:r>
              <w:rPr>
                <w:rFonts w:hint="eastAsia" w:ascii="宋体" w:hAnsi="宋体"/>
                <w:szCs w:val="24"/>
              </w:rPr>
              <w:t>有限售条件股份</w:t>
            </w:r>
          </w:p>
        </w:tc>
        <w:tc>
          <w:tcPr>
            <w:tcW w:w="2130" w:type="dxa"/>
            <w:tcBorders>
              <w:top w:val="single" w:color="auto" w:sz="4" w:space="0"/>
              <w:left w:val="single" w:color="auto" w:sz="4" w:space="0"/>
              <w:bottom w:val="single" w:color="auto" w:sz="4" w:space="0"/>
              <w:right w:val="single" w:color="auto" w:sz="4" w:space="0"/>
            </w:tcBorders>
            <w:vAlign w:val="center"/>
          </w:tcPr>
          <w:p>
            <w:pPr>
              <w:spacing w:line="360" w:lineRule="auto"/>
              <w:jc w:val="right"/>
              <w:rPr>
                <w:rFonts w:hint="eastAsia" w:ascii="宋体" w:hAnsi="宋体"/>
                <w:szCs w:val="24"/>
              </w:rPr>
            </w:pPr>
            <w:r>
              <w:rPr>
                <w:rFonts w:hint="eastAsia" w:ascii="宋体" w:hAnsi="宋体"/>
                <w:szCs w:val="24"/>
              </w:rPr>
              <w:t>2,727,703</w:t>
            </w:r>
          </w:p>
        </w:tc>
        <w:tc>
          <w:tcPr>
            <w:tcW w:w="2131" w:type="dxa"/>
            <w:tcBorders>
              <w:top w:val="single" w:color="auto" w:sz="4" w:space="0"/>
              <w:left w:val="single" w:color="auto" w:sz="4" w:space="0"/>
              <w:bottom w:val="single" w:color="auto" w:sz="4" w:space="0"/>
              <w:right w:val="single" w:color="auto" w:sz="4" w:space="0"/>
            </w:tcBorders>
          </w:tcPr>
          <w:p>
            <w:pPr>
              <w:spacing w:line="360" w:lineRule="auto"/>
              <w:jc w:val="right"/>
              <w:rPr>
                <w:rFonts w:hint="eastAsia" w:ascii="宋体" w:hAnsi="宋体"/>
                <w:szCs w:val="24"/>
              </w:rPr>
            </w:pPr>
            <w:r>
              <w:rPr>
                <w:rFonts w:hint="eastAsia" w:ascii="宋体" w:hAnsi="宋体"/>
                <w:szCs w:val="24"/>
              </w:rPr>
              <w:t>-1,321,351</w:t>
            </w:r>
          </w:p>
        </w:tc>
        <w:tc>
          <w:tcPr>
            <w:tcW w:w="2131" w:type="dxa"/>
            <w:tcBorders>
              <w:top w:val="single" w:color="auto" w:sz="4" w:space="0"/>
              <w:left w:val="single" w:color="auto" w:sz="4" w:space="0"/>
              <w:bottom w:val="single" w:color="auto" w:sz="4" w:space="0"/>
              <w:right w:val="single" w:color="auto" w:sz="4" w:space="0"/>
            </w:tcBorders>
          </w:tcPr>
          <w:p>
            <w:pPr>
              <w:spacing w:line="360" w:lineRule="auto"/>
              <w:jc w:val="right"/>
              <w:rPr>
                <w:rFonts w:hint="eastAsia" w:ascii="宋体" w:hAnsi="宋体"/>
                <w:szCs w:val="24"/>
              </w:rPr>
            </w:pPr>
            <w:r>
              <w:rPr>
                <w:rFonts w:hint="eastAsia" w:ascii="宋体" w:hAnsi="宋体"/>
                <w:szCs w:val="24"/>
              </w:rPr>
              <w:t>1,406,352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szCs w:val="24"/>
              </w:rPr>
            </w:pPr>
            <w:r>
              <w:rPr>
                <w:rFonts w:hint="eastAsia" w:ascii="宋体" w:hAnsi="宋体"/>
                <w:szCs w:val="24"/>
              </w:rPr>
              <w:t>无限售条件股份</w:t>
            </w:r>
          </w:p>
        </w:tc>
        <w:tc>
          <w:tcPr>
            <w:tcW w:w="2130" w:type="dxa"/>
            <w:tcBorders>
              <w:top w:val="single" w:color="auto" w:sz="4" w:space="0"/>
              <w:left w:val="single" w:color="auto" w:sz="4" w:space="0"/>
              <w:bottom w:val="single" w:color="auto" w:sz="4" w:space="0"/>
              <w:right w:val="single" w:color="auto" w:sz="4" w:space="0"/>
            </w:tcBorders>
            <w:vAlign w:val="center"/>
          </w:tcPr>
          <w:p>
            <w:pPr>
              <w:spacing w:line="360" w:lineRule="auto"/>
              <w:jc w:val="right"/>
              <w:rPr>
                <w:rFonts w:hint="eastAsia" w:ascii="宋体" w:hAnsi="宋体"/>
                <w:szCs w:val="24"/>
              </w:rPr>
            </w:pPr>
            <w:r>
              <w:rPr>
                <w:rFonts w:hint="eastAsia" w:ascii="宋体" w:hAnsi="宋体"/>
                <w:szCs w:val="24"/>
              </w:rPr>
              <w:t>709,558,129</w:t>
            </w:r>
          </w:p>
        </w:tc>
        <w:tc>
          <w:tcPr>
            <w:tcW w:w="2131" w:type="dxa"/>
            <w:tcBorders>
              <w:top w:val="single" w:color="auto" w:sz="4" w:space="0"/>
              <w:left w:val="single" w:color="auto" w:sz="4" w:space="0"/>
              <w:bottom w:val="single" w:color="auto" w:sz="4" w:space="0"/>
              <w:right w:val="single" w:color="auto" w:sz="4" w:space="0"/>
            </w:tcBorders>
          </w:tcPr>
          <w:p>
            <w:pPr>
              <w:spacing w:line="360" w:lineRule="auto"/>
              <w:jc w:val="right"/>
              <w:rPr>
                <w:rFonts w:hint="eastAsia" w:ascii="宋体" w:hAnsi="宋体"/>
                <w:szCs w:val="24"/>
              </w:rPr>
            </w:pPr>
            <w:r>
              <w:rPr>
                <w:rFonts w:hint="eastAsia" w:ascii="宋体" w:hAnsi="宋体"/>
                <w:szCs w:val="24"/>
              </w:rPr>
              <w:t>1,321,351</w:t>
            </w:r>
          </w:p>
        </w:tc>
        <w:tc>
          <w:tcPr>
            <w:tcW w:w="2131" w:type="dxa"/>
            <w:tcBorders>
              <w:top w:val="single" w:color="auto" w:sz="4" w:space="0"/>
              <w:left w:val="single" w:color="auto" w:sz="4" w:space="0"/>
              <w:bottom w:val="single" w:color="auto" w:sz="4" w:space="0"/>
              <w:right w:val="single" w:color="auto" w:sz="4" w:space="0"/>
            </w:tcBorders>
          </w:tcPr>
          <w:p>
            <w:pPr>
              <w:spacing w:line="360" w:lineRule="auto"/>
              <w:jc w:val="right"/>
              <w:rPr>
                <w:rFonts w:hint="eastAsia" w:ascii="宋体" w:hAnsi="宋体"/>
                <w:szCs w:val="24"/>
              </w:rPr>
            </w:pPr>
            <w:r>
              <w:rPr>
                <w:rFonts w:hint="eastAsia" w:ascii="宋体" w:hAnsi="宋体"/>
                <w:szCs w:val="24"/>
              </w:rPr>
              <w:t>710,879,480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30" w:type="dxa"/>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szCs w:val="24"/>
              </w:rPr>
            </w:pPr>
            <w:r>
              <w:rPr>
                <w:rFonts w:hint="eastAsia" w:ascii="宋体" w:hAnsi="宋体"/>
                <w:kern w:val="0"/>
                <w:szCs w:val="24"/>
              </w:rPr>
              <w:t>合计</w:t>
            </w:r>
          </w:p>
        </w:tc>
        <w:tc>
          <w:tcPr>
            <w:tcW w:w="2130" w:type="dxa"/>
            <w:tcBorders>
              <w:top w:val="single" w:color="auto" w:sz="4" w:space="0"/>
              <w:left w:val="single" w:color="auto" w:sz="4" w:space="0"/>
              <w:bottom w:val="single" w:color="auto" w:sz="4" w:space="0"/>
              <w:right w:val="single" w:color="auto" w:sz="4" w:space="0"/>
            </w:tcBorders>
            <w:vAlign w:val="center"/>
          </w:tcPr>
          <w:p>
            <w:pPr>
              <w:spacing w:line="360" w:lineRule="auto"/>
              <w:jc w:val="right"/>
              <w:rPr>
                <w:rFonts w:hint="eastAsia" w:ascii="宋体" w:hAnsi="宋体"/>
                <w:szCs w:val="24"/>
              </w:rPr>
            </w:pPr>
            <w:r>
              <w:rPr>
                <w:rFonts w:hint="eastAsia" w:ascii="宋体" w:hAnsi="宋体"/>
                <w:szCs w:val="24"/>
              </w:rPr>
              <w:t>712,285,832</w:t>
            </w:r>
          </w:p>
        </w:tc>
        <w:tc>
          <w:tcPr>
            <w:tcW w:w="2131" w:type="dxa"/>
            <w:tcBorders>
              <w:top w:val="single" w:color="auto" w:sz="4" w:space="0"/>
              <w:left w:val="single" w:color="auto" w:sz="4" w:space="0"/>
              <w:bottom w:val="single" w:color="auto" w:sz="4" w:space="0"/>
              <w:right w:val="single" w:color="auto" w:sz="4" w:space="0"/>
            </w:tcBorders>
          </w:tcPr>
          <w:p>
            <w:pPr>
              <w:spacing w:line="360" w:lineRule="auto"/>
              <w:jc w:val="right"/>
              <w:rPr>
                <w:rFonts w:hint="eastAsia" w:ascii="宋体" w:hAnsi="宋体"/>
                <w:szCs w:val="24"/>
              </w:rPr>
            </w:pPr>
          </w:p>
        </w:tc>
        <w:tc>
          <w:tcPr>
            <w:tcW w:w="2131" w:type="dxa"/>
            <w:tcBorders>
              <w:top w:val="single" w:color="auto" w:sz="4" w:space="0"/>
              <w:left w:val="single" w:color="auto" w:sz="4" w:space="0"/>
              <w:bottom w:val="single" w:color="auto" w:sz="4" w:space="0"/>
              <w:right w:val="single" w:color="auto" w:sz="4" w:space="0"/>
            </w:tcBorders>
          </w:tcPr>
          <w:p>
            <w:pPr>
              <w:spacing w:line="360" w:lineRule="auto"/>
              <w:jc w:val="right"/>
              <w:rPr>
                <w:rFonts w:hint="eastAsia" w:ascii="宋体" w:hAnsi="宋体"/>
                <w:szCs w:val="24"/>
              </w:rPr>
            </w:pPr>
            <w:r>
              <w:rPr>
                <w:rFonts w:hint="eastAsia" w:ascii="宋体" w:hAnsi="宋体"/>
                <w:szCs w:val="24"/>
              </w:rPr>
              <w:t>712,285,832</w:t>
            </w:r>
          </w:p>
        </w:tc>
      </w:tr>
    </w:tbl>
    <w:p>
      <w:pPr>
        <w:spacing w:line="360" w:lineRule="auto"/>
        <w:ind w:firstLine="540"/>
        <w:rPr>
          <w:rFonts w:hint="eastAsia" w:ascii="宋体" w:hAnsi="宋体" w:cs="Times New Roman"/>
          <w:szCs w:val="24"/>
        </w:rPr>
      </w:pPr>
      <w:r>
        <w:rPr>
          <w:rFonts w:hint="eastAsia" w:ascii="宋体" w:hAnsi="宋体"/>
          <w:szCs w:val="24"/>
        </w:rPr>
        <w:t xml:space="preserve"> </w:t>
      </w:r>
    </w:p>
    <w:p>
      <w:pPr>
        <w:spacing w:line="360" w:lineRule="auto"/>
        <w:ind w:firstLine="540"/>
        <w:rPr>
          <w:rFonts w:hint="eastAsia" w:ascii="宋体" w:hAnsi="宋体"/>
          <w:b/>
          <w:bCs/>
          <w:szCs w:val="24"/>
        </w:rPr>
      </w:pPr>
      <w:r>
        <w:rPr>
          <w:rFonts w:hint="eastAsia" w:ascii="宋体" w:hAnsi="宋体"/>
          <w:b/>
          <w:bCs/>
          <w:szCs w:val="24"/>
        </w:rPr>
        <w:t>五、律师出具的法律意见</w:t>
      </w:r>
    </w:p>
    <w:p>
      <w:pPr>
        <w:widowControl/>
        <w:spacing w:line="360" w:lineRule="auto"/>
        <w:ind w:firstLine="480" w:firstLineChars="200"/>
        <w:jc w:val="left"/>
        <w:rPr>
          <w:rFonts w:hint="eastAsia" w:ascii="宋体" w:hAnsi="宋体"/>
          <w:szCs w:val="24"/>
        </w:rPr>
      </w:pPr>
      <w:r>
        <w:rPr>
          <w:rFonts w:hint="eastAsia" w:ascii="宋体" w:hAnsi="宋体"/>
          <w:szCs w:val="24"/>
        </w:rPr>
        <w:t>浙江天册律师事务所律师认为：截至本法律意见书出具之日，公司本次激励计划所涉限制性股票解除限售事宜已取得了现阶段必要的批准和授权，相关解除限售期已届满且解除限售的条件已成就，解除限售的激励对象及数量符合《管理办法》和《激励计划》的规定。公司尚需就本次解除限售事项及时履行信息披露义务并办理解除限售等手续。</w:t>
      </w:r>
    </w:p>
    <w:p/>
    <w:p/>
    <w:p>
      <w:pPr>
        <w:rPr>
          <w:szCs w:val="21"/>
        </w:rPr>
      </w:pPr>
    </w:p>
    <w:p>
      <w:pPr>
        <w:adjustRightInd w:val="0"/>
        <w:snapToGrid w:val="0"/>
        <w:spacing w:line="360" w:lineRule="auto"/>
        <w:rPr>
          <w:rFonts w:ascii="宋体" w:hAnsi="宋体"/>
          <w:szCs w:val="24"/>
        </w:rPr>
      </w:pPr>
      <w:r>
        <w:rPr>
          <w:rFonts w:hint="eastAsia" w:ascii="宋体" w:hAnsi="宋体"/>
          <w:szCs w:val="24"/>
        </w:rPr>
        <w:t>特此公告。</w:t>
      </w:r>
    </w:p>
    <w:p>
      <w:pPr>
        <w:wordWrap w:val="0"/>
        <w:spacing w:line="360" w:lineRule="auto"/>
        <w:jc w:val="right"/>
        <w:rPr>
          <w:rFonts w:hint="eastAsia" w:ascii="宋体" w:hAnsi="宋体" w:eastAsia="宋体"/>
          <w:szCs w:val="24"/>
        </w:rPr>
      </w:pPr>
      <w:sdt>
        <w:sdtPr>
          <w:rPr>
            <w:rFonts w:hint="eastAsia" w:ascii="宋体" w:hAnsi="宋体" w:eastAsia="宋体"/>
            <w:szCs w:val="24"/>
          </w:rPr>
          <w:alias w:val="公司法定中文名称"/>
          <w:tag w:val="_GBC_a0dbe34339a344a896b553a3a318a794"/>
          <w:id w:val="1401562506"/>
          <w:lock w:val="sdtLocked"/>
          <w:placeholder>
            <w:docPart w:val="GBC22222222222222222222222222222"/>
          </w:placeholder>
          <w:dataBinding w:prefixMappings="xmlns:clcta-gie='clcta-gie'" w:xpath="/*/clcta-gie:GongSiFaDingZhongWenMingCheng" w:storeItemID="{F9CFF96E-F764-41B9-B1F0-CADBA89E637A}"/>
          <w:text/>
        </w:sdtPr>
        <w:sdtEndPr>
          <w:rPr>
            <w:rFonts w:hint="eastAsia" w:ascii="宋体" w:hAnsi="宋体" w:eastAsia="宋体"/>
            <w:szCs w:val="24"/>
          </w:rPr>
        </w:sdtEndPr>
        <w:sdtContent>
          <w:r>
            <w:rPr>
              <w:rFonts w:hint="eastAsia" w:ascii="宋体" w:hAnsi="宋体" w:eastAsia="宋体"/>
              <w:szCs w:val="24"/>
            </w:rPr>
            <w:t>江苏吴中医药发展股份有限公司</w:t>
          </w:r>
        </w:sdtContent>
      </w:sdt>
      <w:r>
        <w:rPr>
          <w:rFonts w:hint="eastAsia" w:ascii="宋体" w:hAnsi="宋体" w:eastAsia="宋体"/>
          <w:szCs w:val="24"/>
        </w:rPr>
        <w:t>董事会</w:t>
      </w:r>
    </w:p>
    <w:p>
      <w:pPr>
        <w:wordWrap w:val="0"/>
        <w:spacing w:line="360" w:lineRule="auto"/>
        <w:jc w:val="right"/>
        <w:rPr>
          <w:rFonts w:ascii="宋体" w:hAnsi="宋体" w:eastAsia="宋体"/>
          <w:szCs w:val="21"/>
        </w:rPr>
      </w:pPr>
      <w:sdt>
        <w:sdtPr>
          <w:rPr>
            <w:rFonts w:hint="eastAsia" w:ascii="宋体" w:hAnsi="宋体" w:eastAsia="宋体"/>
            <w:szCs w:val="24"/>
          </w:rPr>
          <w:alias w:val="临时公告日期"/>
          <w:tag w:val="_GBC_b0649edb53524c19a256bbb6e780e07f"/>
          <w:id w:val="1564600945"/>
          <w:lock w:val="sdtLocked"/>
          <w:placeholder>
            <w:docPart w:val="GBC22222222222222222222222222222"/>
          </w:placeholder>
          <w:date w:fullDate="2024-05-15T00:00:00Z">
            <w:dateFormat w:val="yyyy'年'M'月'd'日'"/>
            <w:lid w:val="zh-CN"/>
            <w:storeMappedDataAs w:val="datetime"/>
            <w:calendar w:val="gregorian"/>
          </w:date>
        </w:sdtPr>
        <w:sdtEndPr>
          <w:rPr>
            <w:rFonts w:hint="eastAsia" w:ascii="宋体" w:hAnsi="宋体" w:eastAsia="宋体"/>
            <w:szCs w:val="24"/>
          </w:rPr>
        </w:sdtEndPr>
        <w:sdtContent>
          <w:r>
            <w:rPr>
              <w:rFonts w:hint="eastAsia" w:ascii="宋体" w:hAnsi="宋体" w:eastAsia="宋体"/>
              <w:szCs w:val="24"/>
            </w:rPr>
            <w:t>2024年5月15日</w:t>
          </w:r>
        </w:sdtContent>
      </w:sdt>
    </w:p>
    <w:p>
      <w:pPr>
        <w:pStyle w:val="16"/>
        <w:spacing w:line="360" w:lineRule="auto"/>
        <w:ind w:left="420" w:firstLine="0" w:firstLineChars="0"/>
        <w:jc w:val="left"/>
      </w:pPr>
    </w:p>
    <w:sectPr>
      <w:pgSz w:w="11906" w:h="16838"/>
      <w:pgMar w:top="1440" w:right="1701" w:bottom="144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6C46BB"/>
    <w:multiLevelType w:val="multilevel"/>
    <w:tmpl w:val="3C6C46B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isclosure_Version" w:val="true"/>
    <w:docVar w:name="RemovedBindingXPath" w:val="true"/>
  </w:docVars>
  <w:rsids>
    <w:rsidRoot w:val="00F07621"/>
    <w:rsid w:val="0000071B"/>
    <w:rsid w:val="000008EA"/>
    <w:rsid w:val="000045AE"/>
    <w:rsid w:val="00004D53"/>
    <w:rsid w:val="00005788"/>
    <w:rsid w:val="00005B9F"/>
    <w:rsid w:val="00005DE7"/>
    <w:rsid w:val="000070F9"/>
    <w:rsid w:val="000101D6"/>
    <w:rsid w:val="0001246D"/>
    <w:rsid w:val="0001270B"/>
    <w:rsid w:val="00013277"/>
    <w:rsid w:val="0001349F"/>
    <w:rsid w:val="00014A57"/>
    <w:rsid w:val="00015470"/>
    <w:rsid w:val="00015CEC"/>
    <w:rsid w:val="0002303E"/>
    <w:rsid w:val="0002605F"/>
    <w:rsid w:val="00027676"/>
    <w:rsid w:val="000322FA"/>
    <w:rsid w:val="0003492D"/>
    <w:rsid w:val="00034C87"/>
    <w:rsid w:val="00034E4A"/>
    <w:rsid w:val="00035C88"/>
    <w:rsid w:val="00035D82"/>
    <w:rsid w:val="00037671"/>
    <w:rsid w:val="00037F88"/>
    <w:rsid w:val="00040C0B"/>
    <w:rsid w:val="00044229"/>
    <w:rsid w:val="000460CE"/>
    <w:rsid w:val="00046447"/>
    <w:rsid w:val="00050FA1"/>
    <w:rsid w:val="000519E6"/>
    <w:rsid w:val="00051E51"/>
    <w:rsid w:val="0005339F"/>
    <w:rsid w:val="0005528A"/>
    <w:rsid w:val="00055C28"/>
    <w:rsid w:val="000620BE"/>
    <w:rsid w:val="00062805"/>
    <w:rsid w:val="000632A2"/>
    <w:rsid w:val="0006553A"/>
    <w:rsid w:val="00065B6A"/>
    <w:rsid w:val="00070A14"/>
    <w:rsid w:val="000742E2"/>
    <w:rsid w:val="0007710F"/>
    <w:rsid w:val="00077385"/>
    <w:rsid w:val="000779FE"/>
    <w:rsid w:val="00077C90"/>
    <w:rsid w:val="00082A54"/>
    <w:rsid w:val="00083AD5"/>
    <w:rsid w:val="000854F6"/>
    <w:rsid w:val="000872F3"/>
    <w:rsid w:val="00091C7F"/>
    <w:rsid w:val="00092131"/>
    <w:rsid w:val="000940A8"/>
    <w:rsid w:val="000962D5"/>
    <w:rsid w:val="000A6189"/>
    <w:rsid w:val="000A6B99"/>
    <w:rsid w:val="000A6F6A"/>
    <w:rsid w:val="000A7947"/>
    <w:rsid w:val="000C2FDB"/>
    <w:rsid w:val="000C5665"/>
    <w:rsid w:val="000D0422"/>
    <w:rsid w:val="000D05E5"/>
    <w:rsid w:val="000D0E4A"/>
    <w:rsid w:val="000D15FE"/>
    <w:rsid w:val="000D3325"/>
    <w:rsid w:val="000E3438"/>
    <w:rsid w:val="000E34A0"/>
    <w:rsid w:val="000E4BBB"/>
    <w:rsid w:val="000E512A"/>
    <w:rsid w:val="000E6F00"/>
    <w:rsid w:val="000E7570"/>
    <w:rsid w:val="000E7C37"/>
    <w:rsid w:val="000F0D94"/>
    <w:rsid w:val="000F1C60"/>
    <w:rsid w:val="000F1EFB"/>
    <w:rsid w:val="000F3081"/>
    <w:rsid w:val="000F479B"/>
    <w:rsid w:val="000F4AAD"/>
    <w:rsid w:val="0010010B"/>
    <w:rsid w:val="00100336"/>
    <w:rsid w:val="001004E4"/>
    <w:rsid w:val="00100DD4"/>
    <w:rsid w:val="001017E1"/>
    <w:rsid w:val="00102523"/>
    <w:rsid w:val="001031C3"/>
    <w:rsid w:val="001066E4"/>
    <w:rsid w:val="00107179"/>
    <w:rsid w:val="00107658"/>
    <w:rsid w:val="00112D31"/>
    <w:rsid w:val="00113885"/>
    <w:rsid w:val="00113F7C"/>
    <w:rsid w:val="00120842"/>
    <w:rsid w:val="0012272F"/>
    <w:rsid w:val="001227C0"/>
    <w:rsid w:val="00122EBF"/>
    <w:rsid w:val="0012584F"/>
    <w:rsid w:val="00126D80"/>
    <w:rsid w:val="00127042"/>
    <w:rsid w:val="001327C8"/>
    <w:rsid w:val="00137343"/>
    <w:rsid w:val="00137727"/>
    <w:rsid w:val="001402BC"/>
    <w:rsid w:val="00140CB0"/>
    <w:rsid w:val="00145D90"/>
    <w:rsid w:val="00145F13"/>
    <w:rsid w:val="00146E5E"/>
    <w:rsid w:val="00146F57"/>
    <w:rsid w:val="00147F80"/>
    <w:rsid w:val="0015211A"/>
    <w:rsid w:val="0015489B"/>
    <w:rsid w:val="00161F7D"/>
    <w:rsid w:val="0016355D"/>
    <w:rsid w:val="0016438B"/>
    <w:rsid w:val="001650B9"/>
    <w:rsid w:val="00165403"/>
    <w:rsid w:val="0016588B"/>
    <w:rsid w:val="00167D4D"/>
    <w:rsid w:val="001710E0"/>
    <w:rsid w:val="001756E5"/>
    <w:rsid w:val="001779C6"/>
    <w:rsid w:val="00181979"/>
    <w:rsid w:val="00181F2D"/>
    <w:rsid w:val="00182634"/>
    <w:rsid w:val="00183A24"/>
    <w:rsid w:val="00190973"/>
    <w:rsid w:val="00190E54"/>
    <w:rsid w:val="00193E4C"/>
    <w:rsid w:val="001947DE"/>
    <w:rsid w:val="001955C5"/>
    <w:rsid w:val="00195691"/>
    <w:rsid w:val="00195DC4"/>
    <w:rsid w:val="001973B2"/>
    <w:rsid w:val="0019775E"/>
    <w:rsid w:val="001A780F"/>
    <w:rsid w:val="001B1C4C"/>
    <w:rsid w:val="001B4287"/>
    <w:rsid w:val="001B641A"/>
    <w:rsid w:val="001B66E2"/>
    <w:rsid w:val="001C66D0"/>
    <w:rsid w:val="001C749A"/>
    <w:rsid w:val="001D2056"/>
    <w:rsid w:val="001D6064"/>
    <w:rsid w:val="001D6C04"/>
    <w:rsid w:val="001E15E0"/>
    <w:rsid w:val="001E192A"/>
    <w:rsid w:val="001E5FAF"/>
    <w:rsid w:val="001E6116"/>
    <w:rsid w:val="001E781B"/>
    <w:rsid w:val="001F0ADC"/>
    <w:rsid w:val="001F34F9"/>
    <w:rsid w:val="001F6AC8"/>
    <w:rsid w:val="00200EB1"/>
    <w:rsid w:val="00201453"/>
    <w:rsid w:val="00201C4D"/>
    <w:rsid w:val="0020291A"/>
    <w:rsid w:val="00202FE3"/>
    <w:rsid w:val="002034CA"/>
    <w:rsid w:val="00211001"/>
    <w:rsid w:val="002116BE"/>
    <w:rsid w:val="002163F9"/>
    <w:rsid w:val="002245E5"/>
    <w:rsid w:val="002300DF"/>
    <w:rsid w:val="002316F3"/>
    <w:rsid w:val="00234BAC"/>
    <w:rsid w:val="00234E7B"/>
    <w:rsid w:val="00236C1B"/>
    <w:rsid w:val="00237A5B"/>
    <w:rsid w:val="00241A48"/>
    <w:rsid w:val="00241CEB"/>
    <w:rsid w:val="00245C65"/>
    <w:rsid w:val="002462D1"/>
    <w:rsid w:val="00247B30"/>
    <w:rsid w:val="00250100"/>
    <w:rsid w:val="002530C9"/>
    <w:rsid w:val="00253ECE"/>
    <w:rsid w:val="00254C8A"/>
    <w:rsid w:val="00255954"/>
    <w:rsid w:val="00257077"/>
    <w:rsid w:val="0025720B"/>
    <w:rsid w:val="00257EF7"/>
    <w:rsid w:val="00262C63"/>
    <w:rsid w:val="002713F9"/>
    <w:rsid w:val="0027718E"/>
    <w:rsid w:val="00281F76"/>
    <w:rsid w:val="00282466"/>
    <w:rsid w:val="00284B2C"/>
    <w:rsid w:val="00285BD5"/>
    <w:rsid w:val="002875D3"/>
    <w:rsid w:val="002915A4"/>
    <w:rsid w:val="00291612"/>
    <w:rsid w:val="00292C43"/>
    <w:rsid w:val="00292CED"/>
    <w:rsid w:val="0029324B"/>
    <w:rsid w:val="00294485"/>
    <w:rsid w:val="002A0742"/>
    <w:rsid w:val="002A0AC7"/>
    <w:rsid w:val="002A1402"/>
    <w:rsid w:val="002A3315"/>
    <w:rsid w:val="002A3370"/>
    <w:rsid w:val="002A34CB"/>
    <w:rsid w:val="002A3A75"/>
    <w:rsid w:val="002A50F1"/>
    <w:rsid w:val="002A594D"/>
    <w:rsid w:val="002A5C43"/>
    <w:rsid w:val="002B4CCA"/>
    <w:rsid w:val="002B4EC7"/>
    <w:rsid w:val="002B4F3A"/>
    <w:rsid w:val="002B5A52"/>
    <w:rsid w:val="002B778B"/>
    <w:rsid w:val="002C366B"/>
    <w:rsid w:val="002C3DFF"/>
    <w:rsid w:val="002C7533"/>
    <w:rsid w:val="002D30F4"/>
    <w:rsid w:val="002D3D86"/>
    <w:rsid w:val="002D4728"/>
    <w:rsid w:val="002D4E5A"/>
    <w:rsid w:val="002D793B"/>
    <w:rsid w:val="002E20F5"/>
    <w:rsid w:val="002E4C88"/>
    <w:rsid w:val="002E5678"/>
    <w:rsid w:val="002F0D41"/>
    <w:rsid w:val="002F1E14"/>
    <w:rsid w:val="002F2E0E"/>
    <w:rsid w:val="002F477E"/>
    <w:rsid w:val="002F544D"/>
    <w:rsid w:val="002F7DB7"/>
    <w:rsid w:val="00300394"/>
    <w:rsid w:val="00301613"/>
    <w:rsid w:val="00304D18"/>
    <w:rsid w:val="00307431"/>
    <w:rsid w:val="0031094D"/>
    <w:rsid w:val="003133E8"/>
    <w:rsid w:val="00313916"/>
    <w:rsid w:val="0031518B"/>
    <w:rsid w:val="00320018"/>
    <w:rsid w:val="003203AC"/>
    <w:rsid w:val="00320C7A"/>
    <w:rsid w:val="00320F81"/>
    <w:rsid w:val="0032377C"/>
    <w:rsid w:val="003258E9"/>
    <w:rsid w:val="00330468"/>
    <w:rsid w:val="00331000"/>
    <w:rsid w:val="0033254B"/>
    <w:rsid w:val="00334558"/>
    <w:rsid w:val="00334F59"/>
    <w:rsid w:val="00335DD3"/>
    <w:rsid w:val="00344B78"/>
    <w:rsid w:val="00350F5C"/>
    <w:rsid w:val="00351446"/>
    <w:rsid w:val="003515E6"/>
    <w:rsid w:val="003521CA"/>
    <w:rsid w:val="003548F3"/>
    <w:rsid w:val="003550E4"/>
    <w:rsid w:val="00357ADE"/>
    <w:rsid w:val="003611B9"/>
    <w:rsid w:val="00361228"/>
    <w:rsid w:val="00361B42"/>
    <w:rsid w:val="003625B1"/>
    <w:rsid w:val="0036283B"/>
    <w:rsid w:val="00364543"/>
    <w:rsid w:val="003650FE"/>
    <w:rsid w:val="00365DA5"/>
    <w:rsid w:val="00366C47"/>
    <w:rsid w:val="0037030D"/>
    <w:rsid w:val="003706D8"/>
    <w:rsid w:val="00382D35"/>
    <w:rsid w:val="00385324"/>
    <w:rsid w:val="0038656F"/>
    <w:rsid w:val="00387CCB"/>
    <w:rsid w:val="00390BB0"/>
    <w:rsid w:val="0039187B"/>
    <w:rsid w:val="00393494"/>
    <w:rsid w:val="00394321"/>
    <w:rsid w:val="00395946"/>
    <w:rsid w:val="00395F3E"/>
    <w:rsid w:val="00396F4F"/>
    <w:rsid w:val="003A07EC"/>
    <w:rsid w:val="003A2567"/>
    <w:rsid w:val="003A4899"/>
    <w:rsid w:val="003A4EE2"/>
    <w:rsid w:val="003A54A6"/>
    <w:rsid w:val="003A6258"/>
    <w:rsid w:val="003B1867"/>
    <w:rsid w:val="003B26E2"/>
    <w:rsid w:val="003B40D2"/>
    <w:rsid w:val="003B59E1"/>
    <w:rsid w:val="003B5C34"/>
    <w:rsid w:val="003B6429"/>
    <w:rsid w:val="003B7375"/>
    <w:rsid w:val="003B7D55"/>
    <w:rsid w:val="003C24EB"/>
    <w:rsid w:val="003C4626"/>
    <w:rsid w:val="003C5626"/>
    <w:rsid w:val="003D0CFC"/>
    <w:rsid w:val="003D41DD"/>
    <w:rsid w:val="003D5382"/>
    <w:rsid w:val="003D7F27"/>
    <w:rsid w:val="003E13C9"/>
    <w:rsid w:val="003E1580"/>
    <w:rsid w:val="003E29C0"/>
    <w:rsid w:val="003E455F"/>
    <w:rsid w:val="003E4E9F"/>
    <w:rsid w:val="003E61CE"/>
    <w:rsid w:val="003E70AD"/>
    <w:rsid w:val="003E7361"/>
    <w:rsid w:val="003F23EE"/>
    <w:rsid w:val="003F347A"/>
    <w:rsid w:val="003F47F4"/>
    <w:rsid w:val="003F7BA9"/>
    <w:rsid w:val="0040075E"/>
    <w:rsid w:val="00403BFB"/>
    <w:rsid w:val="0040448C"/>
    <w:rsid w:val="0040699E"/>
    <w:rsid w:val="00407338"/>
    <w:rsid w:val="00410586"/>
    <w:rsid w:val="00412480"/>
    <w:rsid w:val="00415C58"/>
    <w:rsid w:val="00416E78"/>
    <w:rsid w:val="0041750D"/>
    <w:rsid w:val="00422FAD"/>
    <w:rsid w:val="0042740D"/>
    <w:rsid w:val="004303B1"/>
    <w:rsid w:val="00431242"/>
    <w:rsid w:val="00432B29"/>
    <w:rsid w:val="004334C6"/>
    <w:rsid w:val="00434C5B"/>
    <w:rsid w:val="004369A7"/>
    <w:rsid w:val="00441398"/>
    <w:rsid w:val="0044156F"/>
    <w:rsid w:val="004435C3"/>
    <w:rsid w:val="00443F74"/>
    <w:rsid w:val="004470FA"/>
    <w:rsid w:val="00447528"/>
    <w:rsid w:val="00447C2C"/>
    <w:rsid w:val="00450B8E"/>
    <w:rsid w:val="00452DEF"/>
    <w:rsid w:val="00453506"/>
    <w:rsid w:val="00453A94"/>
    <w:rsid w:val="00455644"/>
    <w:rsid w:val="00462FE2"/>
    <w:rsid w:val="0046414D"/>
    <w:rsid w:val="004651BC"/>
    <w:rsid w:val="00465AAC"/>
    <w:rsid w:val="00466102"/>
    <w:rsid w:val="00472609"/>
    <w:rsid w:val="00472AF4"/>
    <w:rsid w:val="00476D92"/>
    <w:rsid w:val="00476FB7"/>
    <w:rsid w:val="00477BE1"/>
    <w:rsid w:val="00480EA5"/>
    <w:rsid w:val="0048134D"/>
    <w:rsid w:val="00484AAA"/>
    <w:rsid w:val="00485366"/>
    <w:rsid w:val="0048641C"/>
    <w:rsid w:val="004925D4"/>
    <w:rsid w:val="00494271"/>
    <w:rsid w:val="00496006"/>
    <w:rsid w:val="0049699F"/>
    <w:rsid w:val="004A039F"/>
    <w:rsid w:val="004A084E"/>
    <w:rsid w:val="004A28EF"/>
    <w:rsid w:val="004A2A2F"/>
    <w:rsid w:val="004A7DC3"/>
    <w:rsid w:val="004A7EC8"/>
    <w:rsid w:val="004B1908"/>
    <w:rsid w:val="004B1C0A"/>
    <w:rsid w:val="004B202A"/>
    <w:rsid w:val="004B54A5"/>
    <w:rsid w:val="004B6A21"/>
    <w:rsid w:val="004C2354"/>
    <w:rsid w:val="004C4A70"/>
    <w:rsid w:val="004C6811"/>
    <w:rsid w:val="004D12CD"/>
    <w:rsid w:val="004D1D0B"/>
    <w:rsid w:val="004D234E"/>
    <w:rsid w:val="004D5977"/>
    <w:rsid w:val="004E1802"/>
    <w:rsid w:val="004E2852"/>
    <w:rsid w:val="004E2F27"/>
    <w:rsid w:val="004E3959"/>
    <w:rsid w:val="004E7394"/>
    <w:rsid w:val="004E7AFF"/>
    <w:rsid w:val="004F1912"/>
    <w:rsid w:val="004F2D4A"/>
    <w:rsid w:val="004F5F52"/>
    <w:rsid w:val="004F6D02"/>
    <w:rsid w:val="004F7460"/>
    <w:rsid w:val="00500934"/>
    <w:rsid w:val="005043F6"/>
    <w:rsid w:val="00504A75"/>
    <w:rsid w:val="00510A58"/>
    <w:rsid w:val="00513642"/>
    <w:rsid w:val="00514CE1"/>
    <w:rsid w:val="005154FB"/>
    <w:rsid w:val="00516B1B"/>
    <w:rsid w:val="00521AB1"/>
    <w:rsid w:val="00522F49"/>
    <w:rsid w:val="00525C42"/>
    <w:rsid w:val="00527212"/>
    <w:rsid w:val="00532B16"/>
    <w:rsid w:val="00533C9C"/>
    <w:rsid w:val="00533F12"/>
    <w:rsid w:val="00535651"/>
    <w:rsid w:val="00535736"/>
    <w:rsid w:val="00540172"/>
    <w:rsid w:val="00542F78"/>
    <w:rsid w:val="00542FEC"/>
    <w:rsid w:val="0054333A"/>
    <w:rsid w:val="00550FCB"/>
    <w:rsid w:val="005511BF"/>
    <w:rsid w:val="00551425"/>
    <w:rsid w:val="0055242A"/>
    <w:rsid w:val="00553577"/>
    <w:rsid w:val="005556E8"/>
    <w:rsid w:val="005564E1"/>
    <w:rsid w:val="00557C87"/>
    <w:rsid w:val="005608F9"/>
    <w:rsid w:val="00561B37"/>
    <w:rsid w:val="0056328C"/>
    <w:rsid w:val="00563FAB"/>
    <w:rsid w:val="00564D9F"/>
    <w:rsid w:val="00570AE1"/>
    <w:rsid w:val="0057598A"/>
    <w:rsid w:val="00575C2C"/>
    <w:rsid w:val="005761D5"/>
    <w:rsid w:val="005819F8"/>
    <w:rsid w:val="00581C41"/>
    <w:rsid w:val="00582842"/>
    <w:rsid w:val="005849BA"/>
    <w:rsid w:val="0058531D"/>
    <w:rsid w:val="0058583D"/>
    <w:rsid w:val="00587F25"/>
    <w:rsid w:val="00587FF4"/>
    <w:rsid w:val="005910DD"/>
    <w:rsid w:val="00591613"/>
    <w:rsid w:val="00592D72"/>
    <w:rsid w:val="0059760E"/>
    <w:rsid w:val="00597990"/>
    <w:rsid w:val="005A5FD8"/>
    <w:rsid w:val="005A7EB6"/>
    <w:rsid w:val="005B05D6"/>
    <w:rsid w:val="005B0AF8"/>
    <w:rsid w:val="005B0D6C"/>
    <w:rsid w:val="005B18DD"/>
    <w:rsid w:val="005B2F94"/>
    <w:rsid w:val="005B4CC7"/>
    <w:rsid w:val="005B5557"/>
    <w:rsid w:val="005B7145"/>
    <w:rsid w:val="005C2C96"/>
    <w:rsid w:val="005C3A41"/>
    <w:rsid w:val="005C5CF9"/>
    <w:rsid w:val="005C646C"/>
    <w:rsid w:val="005C6D14"/>
    <w:rsid w:val="005C7B9C"/>
    <w:rsid w:val="005D0D20"/>
    <w:rsid w:val="005D2276"/>
    <w:rsid w:val="005D232E"/>
    <w:rsid w:val="005D27F6"/>
    <w:rsid w:val="005D3C1B"/>
    <w:rsid w:val="005D4991"/>
    <w:rsid w:val="005D56A8"/>
    <w:rsid w:val="005D69D9"/>
    <w:rsid w:val="005E2430"/>
    <w:rsid w:val="005E588C"/>
    <w:rsid w:val="005E58CE"/>
    <w:rsid w:val="005E5DEC"/>
    <w:rsid w:val="005E5FEF"/>
    <w:rsid w:val="005E6A01"/>
    <w:rsid w:val="005E700F"/>
    <w:rsid w:val="005F0540"/>
    <w:rsid w:val="005F1F26"/>
    <w:rsid w:val="005F26BE"/>
    <w:rsid w:val="005F3608"/>
    <w:rsid w:val="005F5788"/>
    <w:rsid w:val="005F7546"/>
    <w:rsid w:val="00604244"/>
    <w:rsid w:val="00604777"/>
    <w:rsid w:val="006053C1"/>
    <w:rsid w:val="006060C2"/>
    <w:rsid w:val="00607740"/>
    <w:rsid w:val="00607865"/>
    <w:rsid w:val="00620002"/>
    <w:rsid w:val="00621FFB"/>
    <w:rsid w:val="00627F4A"/>
    <w:rsid w:val="00634002"/>
    <w:rsid w:val="00636B27"/>
    <w:rsid w:val="00636F78"/>
    <w:rsid w:val="00637D73"/>
    <w:rsid w:val="006426FF"/>
    <w:rsid w:val="00645F3D"/>
    <w:rsid w:val="006508E2"/>
    <w:rsid w:val="00650932"/>
    <w:rsid w:val="00652494"/>
    <w:rsid w:val="00657560"/>
    <w:rsid w:val="00657D1F"/>
    <w:rsid w:val="0066068B"/>
    <w:rsid w:val="0066083A"/>
    <w:rsid w:val="006619D4"/>
    <w:rsid w:val="00663F60"/>
    <w:rsid w:val="006653D2"/>
    <w:rsid w:val="0066613A"/>
    <w:rsid w:val="00667B24"/>
    <w:rsid w:val="00670B91"/>
    <w:rsid w:val="0067234E"/>
    <w:rsid w:val="006742C2"/>
    <w:rsid w:val="00676814"/>
    <w:rsid w:val="006806DD"/>
    <w:rsid w:val="00680BA5"/>
    <w:rsid w:val="0068178D"/>
    <w:rsid w:val="00681B6C"/>
    <w:rsid w:val="00684EC7"/>
    <w:rsid w:val="00686234"/>
    <w:rsid w:val="0069164A"/>
    <w:rsid w:val="006925AE"/>
    <w:rsid w:val="006A180C"/>
    <w:rsid w:val="006A2C6C"/>
    <w:rsid w:val="006A44C3"/>
    <w:rsid w:val="006A456A"/>
    <w:rsid w:val="006A692F"/>
    <w:rsid w:val="006A7C28"/>
    <w:rsid w:val="006B2DF0"/>
    <w:rsid w:val="006B2EDB"/>
    <w:rsid w:val="006B344C"/>
    <w:rsid w:val="006B3CBF"/>
    <w:rsid w:val="006B685A"/>
    <w:rsid w:val="006B7476"/>
    <w:rsid w:val="006B772D"/>
    <w:rsid w:val="006C023E"/>
    <w:rsid w:val="006C1386"/>
    <w:rsid w:val="006C50FD"/>
    <w:rsid w:val="006C7D94"/>
    <w:rsid w:val="006D2059"/>
    <w:rsid w:val="006D29BF"/>
    <w:rsid w:val="006D54AD"/>
    <w:rsid w:val="006E19C2"/>
    <w:rsid w:val="006E1D9D"/>
    <w:rsid w:val="006E1F20"/>
    <w:rsid w:val="006E4302"/>
    <w:rsid w:val="006E757D"/>
    <w:rsid w:val="006E77FC"/>
    <w:rsid w:val="006F16D8"/>
    <w:rsid w:val="006F238D"/>
    <w:rsid w:val="006F33BE"/>
    <w:rsid w:val="006F3B52"/>
    <w:rsid w:val="006F4034"/>
    <w:rsid w:val="006F45A1"/>
    <w:rsid w:val="006F4610"/>
    <w:rsid w:val="006F5313"/>
    <w:rsid w:val="006F78A2"/>
    <w:rsid w:val="0070094D"/>
    <w:rsid w:val="007015C0"/>
    <w:rsid w:val="00702CB0"/>
    <w:rsid w:val="00703B7F"/>
    <w:rsid w:val="00704505"/>
    <w:rsid w:val="007046EE"/>
    <w:rsid w:val="007061E6"/>
    <w:rsid w:val="0070636F"/>
    <w:rsid w:val="0070717D"/>
    <w:rsid w:val="00707464"/>
    <w:rsid w:val="00707807"/>
    <w:rsid w:val="0071078F"/>
    <w:rsid w:val="00714F5A"/>
    <w:rsid w:val="007159B9"/>
    <w:rsid w:val="00715FA8"/>
    <w:rsid w:val="00716CB1"/>
    <w:rsid w:val="00717BF1"/>
    <w:rsid w:val="0072002A"/>
    <w:rsid w:val="00720C46"/>
    <w:rsid w:val="00721059"/>
    <w:rsid w:val="007216E1"/>
    <w:rsid w:val="0072207F"/>
    <w:rsid w:val="00722DD4"/>
    <w:rsid w:val="0072517D"/>
    <w:rsid w:val="0072634A"/>
    <w:rsid w:val="00733956"/>
    <w:rsid w:val="007342B3"/>
    <w:rsid w:val="007344F8"/>
    <w:rsid w:val="0073501E"/>
    <w:rsid w:val="0073603A"/>
    <w:rsid w:val="00736298"/>
    <w:rsid w:val="0073738C"/>
    <w:rsid w:val="00737D2E"/>
    <w:rsid w:val="00741D57"/>
    <w:rsid w:val="00742969"/>
    <w:rsid w:val="00742FB6"/>
    <w:rsid w:val="00743FF7"/>
    <w:rsid w:val="00746C03"/>
    <w:rsid w:val="007475C3"/>
    <w:rsid w:val="00752A72"/>
    <w:rsid w:val="007545E2"/>
    <w:rsid w:val="00754C27"/>
    <w:rsid w:val="00755FAA"/>
    <w:rsid w:val="00756484"/>
    <w:rsid w:val="00756E12"/>
    <w:rsid w:val="007613D2"/>
    <w:rsid w:val="0076501C"/>
    <w:rsid w:val="00766FE8"/>
    <w:rsid w:val="007671E3"/>
    <w:rsid w:val="007711E9"/>
    <w:rsid w:val="00771407"/>
    <w:rsid w:val="00771836"/>
    <w:rsid w:val="00772157"/>
    <w:rsid w:val="0077326A"/>
    <w:rsid w:val="007768E7"/>
    <w:rsid w:val="00781195"/>
    <w:rsid w:val="007814D3"/>
    <w:rsid w:val="0078170D"/>
    <w:rsid w:val="00782982"/>
    <w:rsid w:val="0078299B"/>
    <w:rsid w:val="00786B51"/>
    <w:rsid w:val="007913AA"/>
    <w:rsid w:val="00792773"/>
    <w:rsid w:val="00793790"/>
    <w:rsid w:val="007965BC"/>
    <w:rsid w:val="007A2D24"/>
    <w:rsid w:val="007A2D62"/>
    <w:rsid w:val="007A33F5"/>
    <w:rsid w:val="007A3EA1"/>
    <w:rsid w:val="007A5C5E"/>
    <w:rsid w:val="007A6657"/>
    <w:rsid w:val="007A7CC5"/>
    <w:rsid w:val="007B1835"/>
    <w:rsid w:val="007B379A"/>
    <w:rsid w:val="007B3B96"/>
    <w:rsid w:val="007B6BDA"/>
    <w:rsid w:val="007C0408"/>
    <w:rsid w:val="007C4392"/>
    <w:rsid w:val="007C5AFF"/>
    <w:rsid w:val="007D3EEA"/>
    <w:rsid w:val="007E406B"/>
    <w:rsid w:val="007E64AF"/>
    <w:rsid w:val="007E6943"/>
    <w:rsid w:val="007F137F"/>
    <w:rsid w:val="007F157F"/>
    <w:rsid w:val="007F2E55"/>
    <w:rsid w:val="007F4B04"/>
    <w:rsid w:val="007F6E8B"/>
    <w:rsid w:val="007F6FFE"/>
    <w:rsid w:val="00801CCC"/>
    <w:rsid w:val="00805111"/>
    <w:rsid w:val="00805736"/>
    <w:rsid w:val="00805C80"/>
    <w:rsid w:val="0080682D"/>
    <w:rsid w:val="00806C98"/>
    <w:rsid w:val="00814C79"/>
    <w:rsid w:val="008166D8"/>
    <w:rsid w:val="0082028D"/>
    <w:rsid w:val="00821BB1"/>
    <w:rsid w:val="00822E80"/>
    <w:rsid w:val="0082311B"/>
    <w:rsid w:val="008243A0"/>
    <w:rsid w:val="00826A12"/>
    <w:rsid w:val="00826E04"/>
    <w:rsid w:val="00830D88"/>
    <w:rsid w:val="0083201E"/>
    <w:rsid w:val="00832A2A"/>
    <w:rsid w:val="00832ADA"/>
    <w:rsid w:val="00833675"/>
    <w:rsid w:val="008336E0"/>
    <w:rsid w:val="00833C5A"/>
    <w:rsid w:val="00834FCF"/>
    <w:rsid w:val="00835A16"/>
    <w:rsid w:val="0083683B"/>
    <w:rsid w:val="00837B62"/>
    <w:rsid w:val="00837F5F"/>
    <w:rsid w:val="008409DD"/>
    <w:rsid w:val="00840DE5"/>
    <w:rsid w:val="00843EBF"/>
    <w:rsid w:val="008458D4"/>
    <w:rsid w:val="00851AD3"/>
    <w:rsid w:val="008522CA"/>
    <w:rsid w:val="0085272D"/>
    <w:rsid w:val="00852CA4"/>
    <w:rsid w:val="00852D3B"/>
    <w:rsid w:val="00853741"/>
    <w:rsid w:val="008554EF"/>
    <w:rsid w:val="00856301"/>
    <w:rsid w:val="008636EE"/>
    <w:rsid w:val="0086424A"/>
    <w:rsid w:val="0086535B"/>
    <w:rsid w:val="00865E16"/>
    <w:rsid w:val="0087531D"/>
    <w:rsid w:val="00885642"/>
    <w:rsid w:val="0088592D"/>
    <w:rsid w:val="00886F66"/>
    <w:rsid w:val="008873FF"/>
    <w:rsid w:val="008913D2"/>
    <w:rsid w:val="0089166E"/>
    <w:rsid w:val="00895025"/>
    <w:rsid w:val="008951EA"/>
    <w:rsid w:val="00896630"/>
    <w:rsid w:val="008A0C90"/>
    <w:rsid w:val="008A1445"/>
    <w:rsid w:val="008A1E82"/>
    <w:rsid w:val="008A2021"/>
    <w:rsid w:val="008A28B7"/>
    <w:rsid w:val="008A2CC3"/>
    <w:rsid w:val="008A2DBD"/>
    <w:rsid w:val="008A46B2"/>
    <w:rsid w:val="008B56F0"/>
    <w:rsid w:val="008B58F6"/>
    <w:rsid w:val="008B6069"/>
    <w:rsid w:val="008B731A"/>
    <w:rsid w:val="008D030F"/>
    <w:rsid w:val="008D1CE6"/>
    <w:rsid w:val="008D1EEA"/>
    <w:rsid w:val="008D357F"/>
    <w:rsid w:val="008D37AB"/>
    <w:rsid w:val="008D53C0"/>
    <w:rsid w:val="008E0815"/>
    <w:rsid w:val="008E120A"/>
    <w:rsid w:val="008E3C78"/>
    <w:rsid w:val="008E4319"/>
    <w:rsid w:val="008E467A"/>
    <w:rsid w:val="008E5D1B"/>
    <w:rsid w:val="008E7861"/>
    <w:rsid w:val="008F10B3"/>
    <w:rsid w:val="008F1FDA"/>
    <w:rsid w:val="008F3A71"/>
    <w:rsid w:val="008F5BC3"/>
    <w:rsid w:val="008F602E"/>
    <w:rsid w:val="008F693A"/>
    <w:rsid w:val="008F7FF6"/>
    <w:rsid w:val="0090079E"/>
    <w:rsid w:val="009023BA"/>
    <w:rsid w:val="00902B7A"/>
    <w:rsid w:val="00911688"/>
    <w:rsid w:val="00913E4A"/>
    <w:rsid w:val="009144CD"/>
    <w:rsid w:val="00914B4E"/>
    <w:rsid w:val="00917685"/>
    <w:rsid w:val="00917933"/>
    <w:rsid w:val="00917D0B"/>
    <w:rsid w:val="00925164"/>
    <w:rsid w:val="0092584C"/>
    <w:rsid w:val="00927605"/>
    <w:rsid w:val="00930BBF"/>
    <w:rsid w:val="00931427"/>
    <w:rsid w:val="00932BE7"/>
    <w:rsid w:val="00932FC9"/>
    <w:rsid w:val="00940AF4"/>
    <w:rsid w:val="00942E55"/>
    <w:rsid w:val="009461B8"/>
    <w:rsid w:val="00951713"/>
    <w:rsid w:val="00952E53"/>
    <w:rsid w:val="00953086"/>
    <w:rsid w:val="00953EF4"/>
    <w:rsid w:val="009545BA"/>
    <w:rsid w:val="009558D7"/>
    <w:rsid w:val="00957D41"/>
    <w:rsid w:val="009610E9"/>
    <w:rsid w:val="009610F6"/>
    <w:rsid w:val="00961669"/>
    <w:rsid w:val="009625D8"/>
    <w:rsid w:val="00963AE1"/>
    <w:rsid w:val="00963EB1"/>
    <w:rsid w:val="00964A1E"/>
    <w:rsid w:val="00964C00"/>
    <w:rsid w:val="00965FF5"/>
    <w:rsid w:val="009718D4"/>
    <w:rsid w:val="00971ED9"/>
    <w:rsid w:val="009722F4"/>
    <w:rsid w:val="009726A3"/>
    <w:rsid w:val="009733D2"/>
    <w:rsid w:val="00973B0A"/>
    <w:rsid w:val="0097466C"/>
    <w:rsid w:val="009775A2"/>
    <w:rsid w:val="00983229"/>
    <w:rsid w:val="00983C6A"/>
    <w:rsid w:val="00984510"/>
    <w:rsid w:val="00987C78"/>
    <w:rsid w:val="00991D09"/>
    <w:rsid w:val="00992763"/>
    <w:rsid w:val="00994294"/>
    <w:rsid w:val="00994500"/>
    <w:rsid w:val="009968F0"/>
    <w:rsid w:val="00996AD7"/>
    <w:rsid w:val="009A29FA"/>
    <w:rsid w:val="009A2CC3"/>
    <w:rsid w:val="009A74F1"/>
    <w:rsid w:val="009B1306"/>
    <w:rsid w:val="009B27C6"/>
    <w:rsid w:val="009B30D7"/>
    <w:rsid w:val="009B3718"/>
    <w:rsid w:val="009B4A0B"/>
    <w:rsid w:val="009B5AC7"/>
    <w:rsid w:val="009B61A0"/>
    <w:rsid w:val="009C1DB6"/>
    <w:rsid w:val="009C2AB0"/>
    <w:rsid w:val="009C396B"/>
    <w:rsid w:val="009C4A41"/>
    <w:rsid w:val="009C4B04"/>
    <w:rsid w:val="009C7BAE"/>
    <w:rsid w:val="009D1E52"/>
    <w:rsid w:val="009D25C5"/>
    <w:rsid w:val="009D411B"/>
    <w:rsid w:val="009D4C78"/>
    <w:rsid w:val="009D5814"/>
    <w:rsid w:val="009D5AC4"/>
    <w:rsid w:val="009D6DF6"/>
    <w:rsid w:val="009E1217"/>
    <w:rsid w:val="009E73F4"/>
    <w:rsid w:val="009E78FD"/>
    <w:rsid w:val="009F05D1"/>
    <w:rsid w:val="009F290C"/>
    <w:rsid w:val="009F5E81"/>
    <w:rsid w:val="009F6B8F"/>
    <w:rsid w:val="00A005CA"/>
    <w:rsid w:val="00A02594"/>
    <w:rsid w:val="00A03154"/>
    <w:rsid w:val="00A041B6"/>
    <w:rsid w:val="00A06CF2"/>
    <w:rsid w:val="00A10FFD"/>
    <w:rsid w:val="00A119AD"/>
    <w:rsid w:val="00A13AB9"/>
    <w:rsid w:val="00A13C4B"/>
    <w:rsid w:val="00A1539D"/>
    <w:rsid w:val="00A1571F"/>
    <w:rsid w:val="00A15DA2"/>
    <w:rsid w:val="00A160C7"/>
    <w:rsid w:val="00A162A1"/>
    <w:rsid w:val="00A21A5C"/>
    <w:rsid w:val="00A229CF"/>
    <w:rsid w:val="00A22AE4"/>
    <w:rsid w:val="00A23F5B"/>
    <w:rsid w:val="00A2662A"/>
    <w:rsid w:val="00A40A64"/>
    <w:rsid w:val="00A4446B"/>
    <w:rsid w:val="00A4476E"/>
    <w:rsid w:val="00A516BD"/>
    <w:rsid w:val="00A51976"/>
    <w:rsid w:val="00A528AA"/>
    <w:rsid w:val="00A52F07"/>
    <w:rsid w:val="00A54172"/>
    <w:rsid w:val="00A5448F"/>
    <w:rsid w:val="00A55DE9"/>
    <w:rsid w:val="00A5725E"/>
    <w:rsid w:val="00A6012F"/>
    <w:rsid w:val="00A60ED0"/>
    <w:rsid w:val="00A61051"/>
    <w:rsid w:val="00A611F5"/>
    <w:rsid w:val="00A62C5F"/>
    <w:rsid w:val="00A64543"/>
    <w:rsid w:val="00A653EA"/>
    <w:rsid w:val="00A6579C"/>
    <w:rsid w:val="00A65D83"/>
    <w:rsid w:val="00A7111B"/>
    <w:rsid w:val="00A7189A"/>
    <w:rsid w:val="00A71B79"/>
    <w:rsid w:val="00A74663"/>
    <w:rsid w:val="00A766D3"/>
    <w:rsid w:val="00A80613"/>
    <w:rsid w:val="00A81A32"/>
    <w:rsid w:val="00A83974"/>
    <w:rsid w:val="00A84098"/>
    <w:rsid w:val="00A84D69"/>
    <w:rsid w:val="00A85051"/>
    <w:rsid w:val="00A85B79"/>
    <w:rsid w:val="00A86E95"/>
    <w:rsid w:val="00A942B0"/>
    <w:rsid w:val="00A95701"/>
    <w:rsid w:val="00A96C7F"/>
    <w:rsid w:val="00AA497C"/>
    <w:rsid w:val="00AA578A"/>
    <w:rsid w:val="00AB2760"/>
    <w:rsid w:val="00AB4A47"/>
    <w:rsid w:val="00AB58D2"/>
    <w:rsid w:val="00AB607E"/>
    <w:rsid w:val="00AB67BA"/>
    <w:rsid w:val="00AC01DA"/>
    <w:rsid w:val="00AC206E"/>
    <w:rsid w:val="00AC29C8"/>
    <w:rsid w:val="00AC5176"/>
    <w:rsid w:val="00AC55A4"/>
    <w:rsid w:val="00AC688D"/>
    <w:rsid w:val="00AC767C"/>
    <w:rsid w:val="00AD099B"/>
    <w:rsid w:val="00AD2FC1"/>
    <w:rsid w:val="00AD4D0B"/>
    <w:rsid w:val="00AD4EC1"/>
    <w:rsid w:val="00AD5457"/>
    <w:rsid w:val="00AD6477"/>
    <w:rsid w:val="00AE05A2"/>
    <w:rsid w:val="00AE221F"/>
    <w:rsid w:val="00AE28F9"/>
    <w:rsid w:val="00AE44CE"/>
    <w:rsid w:val="00AE526F"/>
    <w:rsid w:val="00AE798A"/>
    <w:rsid w:val="00AF1A04"/>
    <w:rsid w:val="00B03CA7"/>
    <w:rsid w:val="00B066F4"/>
    <w:rsid w:val="00B1041A"/>
    <w:rsid w:val="00B104E4"/>
    <w:rsid w:val="00B1065A"/>
    <w:rsid w:val="00B10F59"/>
    <w:rsid w:val="00B11EBE"/>
    <w:rsid w:val="00B12CF1"/>
    <w:rsid w:val="00B1620D"/>
    <w:rsid w:val="00B20FD1"/>
    <w:rsid w:val="00B265F4"/>
    <w:rsid w:val="00B26FF8"/>
    <w:rsid w:val="00B32469"/>
    <w:rsid w:val="00B44328"/>
    <w:rsid w:val="00B469AD"/>
    <w:rsid w:val="00B506EA"/>
    <w:rsid w:val="00B51309"/>
    <w:rsid w:val="00B51B78"/>
    <w:rsid w:val="00B54CEE"/>
    <w:rsid w:val="00B5560A"/>
    <w:rsid w:val="00B561D7"/>
    <w:rsid w:val="00B57A7D"/>
    <w:rsid w:val="00B60C4B"/>
    <w:rsid w:val="00B61D13"/>
    <w:rsid w:val="00B64209"/>
    <w:rsid w:val="00B64D27"/>
    <w:rsid w:val="00B6516A"/>
    <w:rsid w:val="00B66689"/>
    <w:rsid w:val="00B66A15"/>
    <w:rsid w:val="00B6796D"/>
    <w:rsid w:val="00B73030"/>
    <w:rsid w:val="00B75486"/>
    <w:rsid w:val="00B76D33"/>
    <w:rsid w:val="00B82330"/>
    <w:rsid w:val="00B851D8"/>
    <w:rsid w:val="00B923CE"/>
    <w:rsid w:val="00B92C06"/>
    <w:rsid w:val="00B92E86"/>
    <w:rsid w:val="00B94345"/>
    <w:rsid w:val="00B95B1F"/>
    <w:rsid w:val="00B964D6"/>
    <w:rsid w:val="00BA023A"/>
    <w:rsid w:val="00BA1051"/>
    <w:rsid w:val="00BA2DA6"/>
    <w:rsid w:val="00BA3880"/>
    <w:rsid w:val="00BA3C86"/>
    <w:rsid w:val="00BA3FA4"/>
    <w:rsid w:val="00BA53B5"/>
    <w:rsid w:val="00BA7182"/>
    <w:rsid w:val="00BA75BB"/>
    <w:rsid w:val="00BB06CF"/>
    <w:rsid w:val="00BB0AF7"/>
    <w:rsid w:val="00BB0DB6"/>
    <w:rsid w:val="00BB1C3A"/>
    <w:rsid w:val="00BB2548"/>
    <w:rsid w:val="00BB2AA7"/>
    <w:rsid w:val="00BB5AD9"/>
    <w:rsid w:val="00BB674B"/>
    <w:rsid w:val="00BC15CA"/>
    <w:rsid w:val="00BC3476"/>
    <w:rsid w:val="00BC4E62"/>
    <w:rsid w:val="00BD072B"/>
    <w:rsid w:val="00BD2863"/>
    <w:rsid w:val="00BD724A"/>
    <w:rsid w:val="00BE3E46"/>
    <w:rsid w:val="00BE74E9"/>
    <w:rsid w:val="00BF30AE"/>
    <w:rsid w:val="00BF3134"/>
    <w:rsid w:val="00BF5691"/>
    <w:rsid w:val="00C00D8E"/>
    <w:rsid w:val="00C02401"/>
    <w:rsid w:val="00C04190"/>
    <w:rsid w:val="00C065EC"/>
    <w:rsid w:val="00C11AA5"/>
    <w:rsid w:val="00C12C11"/>
    <w:rsid w:val="00C15242"/>
    <w:rsid w:val="00C15767"/>
    <w:rsid w:val="00C16A1E"/>
    <w:rsid w:val="00C17271"/>
    <w:rsid w:val="00C17C57"/>
    <w:rsid w:val="00C21097"/>
    <w:rsid w:val="00C218CB"/>
    <w:rsid w:val="00C24BAF"/>
    <w:rsid w:val="00C25503"/>
    <w:rsid w:val="00C25FE8"/>
    <w:rsid w:val="00C2652E"/>
    <w:rsid w:val="00C272B4"/>
    <w:rsid w:val="00C2763D"/>
    <w:rsid w:val="00C30B98"/>
    <w:rsid w:val="00C35F8B"/>
    <w:rsid w:val="00C36C82"/>
    <w:rsid w:val="00C41A26"/>
    <w:rsid w:val="00C41FB4"/>
    <w:rsid w:val="00C429C3"/>
    <w:rsid w:val="00C429EE"/>
    <w:rsid w:val="00C43F43"/>
    <w:rsid w:val="00C50346"/>
    <w:rsid w:val="00C5255B"/>
    <w:rsid w:val="00C5364E"/>
    <w:rsid w:val="00C54D6C"/>
    <w:rsid w:val="00C55033"/>
    <w:rsid w:val="00C61F4B"/>
    <w:rsid w:val="00C621A5"/>
    <w:rsid w:val="00C62268"/>
    <w:rsid w:val="00C63030"/>
    <w:rsid w:val="00C63344"/>
    <w:rsid w:val="00C65566"/>
    <w:rsid w:val="00C657B0"/>
    <w:rsid w:val="00C67579"/>
    <w:rsid w:val="00C67664"/>
    <w:rsid w:val="00C71E1A"/>
    <w:rsid w:val="00C723CC"/>
    <w:rsid w:val="00C753A8"/>
    <w:rsid w:val="00C760CB"/>
    <w:rsid w:val="00C779A5"/>
    <w:rsid w:val="00C81609"/>
    <w:rsid w:val="00C818D5"/>
    <w:rsid w:val="00C823A0"/>
    <w:rsid w:val="00C8281F"/>
    <w:rsid w:val="00C8640F"/>
    <w:rsid w:val="00C86538"/>
    <w:rsid w:val="00C90CCE"/>
    <w:rsid w:val="00C91B56"/>
    <w:rsid w:val="00C91EFC"/>
    <w:rsid w:val="00C92D8D"/>
    <w:rsid w:val="00C93B98"/>
    <w:rsid w:val="00CA0CF8"/>
    <w:rsid w:val="00CA23D7"/>
    <w:rsid w:val="00CA43D2"/>
    <w:rsid w:val="00CA697F"/>
    <w:rsid w:val="00CB101D"/>
    <w:rsid w:val="00CB3394"/>
    <w:rsid w:val="00CB3E4E"/>
    <w:rsid w:val="00CB4046"/>
    <w:rsid w:val="00CB4103"/>
    <w:rsid w:val="00CB498B"/>
    <w:rsid w:val="00CB6261"/>
    <w:rsid w:val="00CC0053"/>
    <w:rsid w:val="00CC1F64"/>
    <w:rsid w:val="00CC6D5D"/>
    <w:rsid w:val="00CC70E2"/>
    <w:rsid w:val="00CC742E"/>
    <w:rsid w:val="00CC7FC2"/>
    <w:rsid w:val="00CD01FF"/>
    <w:rsid w:val="00CD22C3"/>
    <w:rsid w:val="00CD6DCC"/>
    <w:rsid w:val="00CE0EFD"/>
    <w:rsid w:val="00CE2FE5"/>
    <w:rsid w:val="00CE3190"/>
    <w:rsid w:val="00CE434F"/>
    <w:rsid w:val="00CE6CDC"/>
    <w:rsid w:val="00CF046A"/>
    <w:rsid w:val="00CF0842"/>
    <w:rsid w:val="00CF1678"/>
    <w:rsid w:val="00CF753B"/>
    <w:rsid w:val="00D0007F"/>
    <w:rsid w:val="00D004F8"/>
    <w:rsid w:val="00D01ACE"/>
    <w:rsid w:val="00D039AA"/>
    <w:rsid w:val="00D041D1"/>
    <w:rsid w:val="00D04A06"/>
    <w:rsid w:val="00D05FAA"/>
    <w:rsid w:val="00D12A24"/>
    <w:rsid w:val="00D14293"/>
    <w:rsid w:val="00D144F3"/>
    <w:rsid w:val="00D17984"/>
    <w:rsid w:val="00D20EF0"/>
    <w:rsid w:val="00D244D4"/>
    <w:rsid w:val="00D31721"/>
    <w:rsid w:val="00D318D9"/>
    <w:rsid w:val="00D33981"/>
    <w:rsid w:val="00D35ECB"/>
    <w:rsid w:val="00D36BD8"/>
    <w:rsid w:val="00D37390"/>
    <w:rsid w:val="00D40842"/>
    <w:rsid w:val="00D4161C"/>
    <w:rsid w:val="00D41EE7"/>
    <w:rsid w:val="00D437E0"/>
    <w:rsid w:val="00D45B32"/>
    <w:rsid w:val="00D479EC"/>
    <w:rsid w:val="00D600CC"/>
    <w:rsid w:val="00D62C86"/>
    <w:rsid w:val="00D642D0"/>
    <w:rsid w:val="00D6619C"/>
    <w:rsid w:val="00D67B5C"/>
    <w:rsid w:val="00D70B80"/>
    <w:rsid w:val="00D71AFA"/>
    <w:rsid w:val="00D72DDD"/>
    <w:rsid w:val="00D80687"/>
    <w:rsid w:val="00D80CCE"/>
    <w:rsid w:val="00D80D6A"/>
    <w:rsid w:val="00D820B6"/>
    <w:rsid w:val="00D82D00"/>
    <w:rsid w:val="00D83A9D"/>
    <w:rsid w:val="00D86138"/>
    <w:rsid w:val="00D97DAD"/>
    <w:rsid w:val="00DA6742"/>
    <w:rsid w:val="00DA7802"/>
    <w:rsid w:val="00DB11BC"/>
    <w:rsid w:val="00DB3D8A"/>
    <w:rsid w:val="00DC2F81"/>
    <w:rsid w:val="00DC493F"/>
    <w:rsid w:val="00DC530A"/>
    <w:rsid w:val="00DC6103"/>
    <w:rsid w:val="00DD1CE5"/>
    <w:rsid w:val="00DD41B2"/>
    <w:rsid w:val="00DD4C83"/>
    <w:rsid w:val="00DE3952"/>
    <w:rsid w:val="00DE7C5B"/>
    <w:rsid w:val="00DF0B9A"/>
    <w:rsid w:val="00DF258C"/>
    <w:rsid w:val="00DF2603"/>
    <w:rsid w:val="00DF4CD2"/>
    <w:rsid w:val="00DF688E"/>
    <w:rsid w:val="00DF7114"/>
    <w:rsid w:val="00E0299E"/>
    <w:rsid w:val="00E02A27"/>
    <w:rsid w:val="00E02B08"/>
    <w:rsid w:val="00E02DE7"/>
    <w:rsid w:val="00E03B35"/>
    <w:rsid w:val="00E04DF8"/>
    <w:rsid w:val="00E068CC"/>
    <w:rsid w:val="00E075CF"/>
    <w:rsid w:val="00E10564"/>
    <w:rsid w:val="00E10B93"/>
    <w:rsid w:val="00E11A1C"/>
    <w:rsid w:val="00E11A2B"/>
    <w:rsid w:val="00E11E42"/>
    <w:rsid w:val="00E12BB7"/>
    <w:rsid w:val="00E15053"/>
    <w:rsid w:val="00E1735A"/>
    <w:rsid w:val="00E20155"/>
    <w:rsid w:val="00E20C82"/>
    <w:rsid w:val="00E20EE0"/>
    <w:rsid w:val="00E214A7"/>
    <w:rsid w:val="00E21B25"/>
    <w:rsid w:val="00E21EEE"/>
    <w:rsid w:val="00E233A4"/>
    <w:rsid w:val="00E23708"/>
    <w:rsid w:val="00E26EE6"/>
    <w:rsid w:val="00E30A4A"/>
    <w:rsid w:val="00E30BFA"/>
    <w:rsid w:val="00E3284C"/>
    <w:rsid w:val="00E40979"/>
    <w:rsid w:val="00E41B58"/>
    <w:rsid w:val="00E42008"/>
    <w:rsid w:val="00E42C9D"/>
    <w:rsid w:val="00E44C64"/>
    <w:rsid w:val="00E451D1"/>
    <w:rsid w:val="00E459AA"/>
    <w:rsid w:val="00E47F28"/>
    <w:rsid w:val="00E52824"/>
    <w:rsid w:val="00E60AAE"/>
    <w:rsid w:val="00E6398F"/>
    <w:rsid w:val="00E639E2"/>
    <w:rsid w:val="00E64996"/>
    <w:rsid w:val="00E67196"/>
    <w:rsid w:val="00E7075A"/>
    <w:rsid w:val="00E7276A"/>
    <w:rsid w:val="00E7515C"/>
    <w:rsid w:val="00E76A6E"/>
    <w:rsid w:val="00E800FB"/>
    <w:rsid w:val="00E84140"/>
    <w:rsid w:val="00E8536E"/>
    <w:rsid w:val="00E915F3"/>
    <w:rsid w:val="00E921BB"/>
    <w:rsid w:val="00E93F3E"/>
    <w:rsid w:val="00E974A8"/>
    <w:rsid w:val="00E97CFB"/>
    <w:rsid w:val="00EA0E59"/>
    <w:rsid w:val="00EA224A"/>
    <w:rsid w:val="00EA35DE"/>
    <w:rsid w:val="00EA7EC5"/>
    <w:rsid w:val="00EB21F7"/>
    <w:rsid w:val="00EB26EF"/>
    <w:rsid w:val="00EB3579"/>
    <w:rsid w:val="00EB6225"/>
    <w:rsid w:val="00EB7FAA"/>
    <w:rsid w:val="00EC2081"/>
    <w:rsid w:val="00EC2689"/>
    <w:rsid w:val="00EC36B4"/>
    <w:rsid w:val="00EC49C6"/>
    <w:rsid w:val="00EC72BF"/>
    <w:rsid w:val="00EC7DD8"/>
    <w:rsid w:val="00ED0829"/>
    <w:rsid w:val="00ED4F27"/>
    <w:rsid w:val="00ED4F61"/>
    <w:rsid w:val="00ED6571"/>
    <w:rsid w:val="00EE21F4"/>
    <w:rsid w:val="00EE3AB7"/>
    <w:rsid w:val="00EE4016"/>
    <w:rsid w:val="00EE56C0"/>
    <w:rsid w:val="00EF0350"/>
    <w:rsid w:val="00EF29DF"/>
    <w:rsid w:val="00EF3DA6"/>
    <w:rsid w:val="00EF553E"/>
    <w:rsid w:val="00EF57DA"/>
    <w:rsid w:val="00EF60E1"/>
    <w:rsid w:val="00EF762F"/>
    <w:rsid w:val="00F01414"/>
    <w:rsid w:val="00F03432"/>
    <w:rsid w:val="00F0634C"/>
    <w:rsid w:val="00F07621"/>
    <w:rsid w:val="00F07C42"/>
    <w:rsid w:val="00F1219A"/>
    <w:rsid w:val="00F14943"/>
    <w:rsid w:val="00F1518E"/>
    <w:rsid w:val="00F2028C"/>
    <w:rsid w:val="00F20715"/>
    <w:rsid w:val="00F216C8"/>
    <w:rsid w:val="00F2205A"/>
    <w:rsid w:val="00F2430D"/>
    <w:rsid w:val="00F255CA"/>
    <w:rsid w:val="00F25718"/>
    <w:rsid w:val="00F32F20"/>
    <w:rsid w:val="00F34034"/>
    <w:rsid w:val="00F34905"/>
    <w:rsid w:val="00F34AB1"/>
    <w:rsid w:val="00F34D8E"/>
    <w:rsid w:val="00F35548"/>
    <w:rsid w:val="00F413C1"/>
    <w:rsid w:val="00F41A66"/>
    <w:rsid w:val="00F450BE"/>
    <w:rsid w:val="00F47083"/>
    <w:rsid w:val="00F478E9"/>
    <w:rsid w:val="00F479AA"/>
    <w:rsid w:val="00F47A92"/>
    <w:rsid w:val="00F521F1"/>
    <w:rsid w:val="00F52A6E"/>
    <w:rsid w:val="00F53F87"/>
    <w:rsid w:val="00F54EE0"/>
    <w:rsid w:val="00F55A2D"/>
    <w:rsid w:val="00F61933"/>
    <w:rsid w:val="00F62060"/>
    <w:rsid w:val="00F65050"/>
    <w:rsid w:val="00F65650"/>
    <w:rsid w:val="00F67A16"/>
    <w:rsid w:val="00F72652"/>
    <w:rsid w:val="00F74313"/>
    <w:rsid w:val="00F8139F"/>
    <w:rsid w:val="00F861B5"/>
    <w:rsid w:val="00F93DE2"/>
    <w:rsid w:val="00F94C4D"/>
    <w:rsid w:val="00FA16E7"/>
    <w:rsid w:val="00FA1827"/>
    <w:rsid w:val="00FA30D4"/>
    <w:rsid w:val="00FA3C59"/>
    <w:rsid w:val="00FA41EE"/>
    <w:rsid w:val="00FA519F"/>
    <w:rsid w:val="00FB45D0"/>
    <w:rsid w:val="00FB4EA4"/>
    <w:rsid w:val="00FB5F58"/>
    <w:rsid w:val="00FB79EA"/>
    <w:rsid w:val="00FB7E53"/>
    <w:rsid w:val="00FC13B6"/>
    <w:rsid w:val="00FC27DA"/>
    <w:rsid w:val="00FC4A85"/>
    <w:rsid w:val="00FC5A1B"/>
    <w:rsid w:val="00FC6BAB"/>
    <w:rsid w:val="00FD13BE"/>
    <w:rsid w:val="00FD2263"/>
    <w:rsid w:val="00FD3059"/>
    <w:rsid w:val="00FD3C05"/>
    <w:rsid w:val="00FD3FDA"/>
    <w:rsid w:val="00FD64C1"/>
    <w:rsid w:val="00FE183E"/>
    <w:rsid w:val="00FE36B7"/>
    <w:rsid w:val="00FE3BA4"/>
    <w:rsid w:val="00FE4228"/>
    <w:rsid w:val="00FE70C0"/>
    <w:rsid w:val="00FE77DF"/>
    <w:rsid w:val="00FE7EE4"/>
    <w:rsid w:val="00FF2987"/>
    <w:rsid w:val="00FF3C09"/>
    <w:rsid w:val="00FF49DD"/>
    <w:rsid w:val="00FF4E97"/>
    <w:rsid w:val="79655BD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99"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4"/>
      <w:szCs w:val="22"/>
      <w:lang w:val="en-US" w:eastAsia="zh-CN" w:bidi="ar-SA"/>
    </w:rPr>
  </w:style>
  <w:style w:type="paragraph" w:styleId="2">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4">
    <w:name w:val="Document Map"/>
    <w:basedOn w:val="1"/>
    <w:link w:val="19"/>
    <w:autoRedefine/>
    <w:semiHidden/>
    <w:unhideWhenUsed/>
    <w:qFormat/>
    <w:uiPriority w:val="99"/>
    <w:rPr>
      <w:rFonts w:ascii="宋体" w:eastAsia="宋体"/>
      <w:sz w:val="18"/>
      <w:szCs w:val="18"/>
    </w:rPr>
  </w:style>
  <w:style w:type="paragraph" w:styleId="5">
    <w:name w:val="annotation text"/>
    <w:basedOn w:val="1"/>
    <w:link w:val="24"/>
    <w:autoRedefine/>
    <w:unhideWhenUsed/>
    <w:qFormat/>
    <w:uiPriority w:val="99"/>
    <w:pPr>
      <w:jc w:val="left"/>
    </w:pPr>
  </w:style>
  <w:style w:type="paragraph" w:styleId="6">
    <w:name w:val="Salutation"/>
    <w:basedOn w:val="1"/>
    <w:next w:val="1"/>
    <w:link w:val="22"/>
    <w:autoRedefine/>
    <w:qFormat/>
    <w:uiPriority w:val="99"/>
    <w:rPr>
      <w:rFonts w:ascii="Times New Roman" w:hAnsi="Times New Roman" w:eastAsia="宋体" w:cs="Times New Roman"/>
      <w:szCs w:val="21"/>
    </w:rPr>
  </w:style>
  <w:style w:type="paragraph" w:styleId="7">
    <w:name w:val="Balloon Text"/>
    <w:basedOn w:val="1"/>
    <w:link w:val="15"/>
    <w:autoRedefine/>
    <w:semiHidden/>
    <w:unhideWhenUsed/>
    <w:qFormat/>
    <w:uiPriority w:val="99"/>
    <w:rPr>
      <w:sz w:val="18"/>
      <w:szCs w:val="18"/>
    </w:rPr>
  </w:style>
  <w:style w:type="paragraph" w:styleId="8">
    <w:name w:val="footer"/>
    <w:basedOn w:val="1"/>
    <w:link w:val="21"/>
    <w:autoRedefine/>
    <w:unhideWhenUsed/>
    <w:qFormat/>
    <w:uiPriority w:val="99"/>
    <w:pPr>
      <w:tabs>
        <w:tab w:val="center" w:pos="4153"/>
        <w:tab w:val="right" w:pos="8306"/>
      </w:tabs>
      <w:snapToGrid w:val="0"/>
      <w:jc w:val="left"/>
    </w:pPr>
    <w:rPr>
      <w:sz w:val="18"/>
      <w:szCs w:val="18"/>
    </w:rPr>
  </w:style>
  <w:style w:type="paragraph" w:styleId="9">
    <w:name w:val="header"/>
    <w:basedOn w:val="1"/>
    <w:link w:val="2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annotation subject"/>
    <w:basedOn w:val="5"/>
    <w:next w:val="5"/>
    <w:link w:val="25"/>
    <w:semiHidden/>
    <w:unhideWhenUsed/>
    <w:uiPriority w:val="99"/>
    <w:rPr>
      <w:b/>
      <w:bCs/>
    </w:rPr>
  </w:style>
  <w:style w:type="table" w:styleId="12">
    <w:name w:val="Table Grid"/>
    <w:basedOn w:val="11"/>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4">
    <w:name w:val="annotation reference"/>
    <w:basedOn w:val="13"/>
    <w:autoRedefine/>
    <w:unhideWhenUsed/>
    <w:qFormat/>
    <w:uiPriority w:val="99"/>
    <w:rPr>
      <w:sz w:val="21"/>
      <w:szCs w:val="21"/>
    </w:rPr>
  </w:style>
  <w:style w:type="character" w:customStyle="1" w:styleId="15">
    <w:name w:val="批注框文本 字符"/>
    <w:basedOn w:val="13"/>
    <w:link w:val="7"/>
    <w:autoRedefine/>
    <w:semiHidden/>
    <w:qFormat/>
    <w:uiPriority w:val="99"/>
    <w:rPr>
      <w:sz w:val="18"/>
      <w:szCs w:val="18"/>
    </w:rPr>
  </w:style>
  <w:style w:type="paragraph" w:styleId="16">
    <w:name w:val="List Paragraph"/>
    <w:basedOn w:val="1"/>
    <w:autoRedefine/>
    <w:qFormat/>
    <w:uiPriority w:val="34"/>
    <w:pPr>
      <w:ind w:firstLine="420" w:firstLineChars="200"/>
    </w:pPr>
  </w:style>
  <w:style w:type="character" w:customStyle="1" w:styleId="17">
    <w:name w:val="标题 1 字符"/>
    <w:basedOn w:val="13"/>
    <w:link w:val="2"/>
    <w:autoRedefine/>
    <w:qFormat/>
    <w:uiPriority w:val="9"/>
    <w:rPr>
      <w:b/>
      <w:bCs/>
      <w:kern w:val="44"/>
      <w:sz w:val="44"/>
      <w:szCs w:val="44"/>
    </w:rPr>
  </w:style>
  <w:style w:type="character" w:customStyle="1" w:styleId="18">
    <w:name w:val="标题 2 字符"/>
    <w:basedOn w:val="13"/>
    <w:link w:val="3"/>
    <w:autoRedefine/>
    <w:qFormat/>
    <w:uiPriority w:val="9"/>
    <w:rPr>
      <w:rFonts w:asciiTheme="majorHAnsi" w:hAnsiTheme="majorHAnsi" w:eastAsiaTheme="majorEastAsia" w:cstheme="majorBidi"/>
      <w:b/>
      <w:bCs/>
      <w:sz w:val="32"/>
      <w:szCs w:val="32"/>
    </w:rPr>
  </w:style>
  <w:style w:type="character" w:customStyle="1" w:styleId="19">
    <w:name w:val="文档结构图 字符"/>
    <w:basedOn w:val="13"/>
    <w:link w:val="4"/>
    <w:autoRedefine/>
    <w:semiHidden/>
    <w:qFormat/>
    <w:uiPriority w:val="99"/>
    <w:rPr>
      <w:rFonts w:ascii="宋体" w:eastAsia="宋体"/>
      <w:sz w:val="18"/>
      <w:szCs w:val="18"/>
    </w:rPr>
  </w:style>
  <w:style w:type="character" w:customStyle="1" w:styleId="20">
    <w:name w:val="页眉 字符"/>
    <w:basedOn w:val="13"/>
    <w:link w:val="9"/>
    <w:autoRedefine/>
    <w:qFormat/>
    <w:uiPriority w:val="99"/>
    <w:rPr>
      <w:sz w:val="18"/>
      <w:szCs w:val="18"/>
    </w:rPr>
  </w:style>
  <w:style w:type="character" w:customStyle="1" w:styleId="21">
    <w:name w:val="页脚 字符"/>
    <w:basedOn w:val="13"/>
    <w:link w:val="8"/>
    <w:autoRedefine/>
    <w:qFormat/>
    <w:uiPriority w:val="99"/>
    <w:rPr>
      <w:sz w:val="18"/>
      <w:szCs w:val="18"/>
    </w:rPr>
  </w:style>
  <w:style w:type="character" w:customStyle="1" w:styleId="22">
    <w:name w:val="称呼 字符"/>
    <w:basedOn w:val="13"/>
    <w:link w:val="6"/>
    <w:autoRedefine/>
    <w:qFormat/>
    <w:uiPriority w:val="99"/>
    <w:rPr>
      <w:rFonts w:ascii="Times New Roman" w:hAnsi="Times New Roman" w:eastAsia="宋体" w:cs="Times New Roman"/>
      <w:szCs w:val="21"/>
    </w:rPr>
  </w:style>
  <w:style w:type="character" w:styleId="23">
    <w:name w:val="Placeholder Text"/>
    <w:basedOn w:val="13"/>
    <w:autoRedefine/>
    <w:semiHidden/>
    <w:qFormat/>
    <w:uiPriority w:val="99"/>
    <w:rPr>
      <w:color w:val="auto"/>
    </w:rPr>
  </w:style>
  <w:style w:type="character" w:customStyle="1" w:styleId="24">
    <w:name w:val="批注文字 字符"/>
    <w:basedOn w:val="13"/>
    <w:link w:val="5"/>
    <w:autoRedefine/>
    <w:qFormat/>
    <w:uiPriority w:val="99"/>
  </w:style>
  <w:style w:type="character" w:customStyle="1" w:styleId="25">
    <w:name w:val="批注主题 字符"/>
    <w:basedOn w:val="24"/>
    <w:link w:val="10"/>
    <w:semiHidden/>
    <w:uiPriority w:val="99"/>
    <w:rPr>
      <w:b/>
      <w:bCs/>
    </w:rPr>
  </w:style>
  <w:style w:type="character" w:customStyle="1" w:styleId="26">
    <w:name w:val="fontstyle01"/>
    <w:basedOn w:val="13"/>
    <w:uiPriority w:val="0"/>
    <w:rPr>
      <w:rFonts w:hint="eastAsia" w:ascii="宋体" w:hAnsi="宋体" w:eastAsia="宋体"/>
      <w:color w:val="FF0000"/>
      <w:sz w:val="36"/>
      <w:szCs w:val="3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5.xml"/><Relationship Id="rId8" Type="http://schemas.openxmlformats.org/officeDocument/2006/relationships/customXml" Target="../customXml/item4.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GBC22222222222222222222222222222"/>
        <w:style w:val=""/>
        <w:category>
          <w:name w:val="常规"/>
          <w:gallery w:val="placeholder"/>
        </w:category>
        <w:types>
          <w:type w:val="bbPlcHdr"/>
        </w:types>
        <w:behaviors>
          <w:behavior w:val="content"/>
        </w:behaviors>
        <w:description w:val=""/>
        <w:guid w:val="{F6A190B5-0D01-45EA-82DB-53EBE508D507}"/>
      </w:docPartPr>
      <w:docPartBody>
        <w:p>
          <w:pPr>
            <w:pStyle w:val="5"/>
          </w:pPr>
          <w:r>
            <w:rPr>
              <w:rFonts w:hint="eastAsia"/>
              <w:color w:val="333399"/>
              <w:u w:val="single"/>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
  <w:rsids>
    <w:rsidRoot w:val="00FF414F"/>
    <w:rsid w:val="0003044B"/>
    <w:rsid w:val="00052C22"/>
    <w:rsid w:val="000A3AC9"/>
    <w:rsid w:val="000B7E8F"/>
    <w:rsid w:val="000C369A"/>
    <w:rsid w:val="000E6F12"/>
    <w:rsid w:val="00107DC1"/>
    <w:rsid w:val="00126ECF"/>
    <w:rsid w:val="00130353"/>
    <w:rsid w:val="00173EAB"/>
    <w:rsid w:val="00190AC0"/>
    <w:rsid w:val="00195EA0"/>
    <w:rsid w:val="001B09A2"/>
    <w:rsid w:val="001B7A7F"/>
    <w:rsid w:val="001D7188"/>
    <w:rsid w:val="001E275E"/>
    <w:rsid w:val="0024300B"/>
    <w:rsid w:val="0025464D"/>
    <w:rsid w:val="002548FD"/>
    <w:rsid w:val="00255B72"/>
    <w:rsid w:val="00284B23"/>
    <w:rsid w:val="002866D0"/>
    <w:rsid w:val="00294CEF"/>
    <w:rsid w:val="00297CA6"/>
    <w:rsid w:val="002B4ACC"/>
    <w:rsid w:val="002B6D6D"/>
    <w:rsid w:val="002C77DE"/>
    <w:rsid w:val="002E0F77"/>
    <w:rsid w:val="002E4E17"/>
    <w:rsid w:val="00300DE3"/>
    <w:rsid w:val="00303C57"/>
    <w:rsid w:val="00313760"/>
    <w:rsid w:val="00314624"/>
    <w:rsid w:val="003323CA"/>
    <w:rsid w:val="003426CB"/>
    <w:rsid w:val="00350AE0"/>
    <w:rsid w:val="0037274A"/>
    <w:rsid w:val="003739EB"/>
    <w:rsid w:val="003816B5"/>
    <w:rsid w:val="0038250A"/>
    <w:rsid w:val="003B3D56"/>
    <w:rsid w:val="003F0240"/>
    <w:rsid w:val="003F2BB7"/>
    <w:rsid w:val="003F2DC7"/>
    <w:rsid w:val="00400BCB"/>
    <w:rsid w:val="004013AF"/>
    <w:rsid w:val="00403080"/>
    <w:rsid w:val="004312A9"/>
    <w:rsid w:val="00436F5B"/>
    <w:rsid w:val="004758A7"/>
    <w:rsid w:val="0048579F"/>
    <w:rsid w:val="0048798E"/>
    <w:rsid w:val="004B0337"/>
    <w:rsid w:val="004B0FF6"/>
    <w:rsid w:val="005010BE"/>
    <w:rsid w:val="00505A67"/>
    <w:rsid w:val="00511457"/>
    <w:rsid w:val="00515640"/>
    <w:rsid w:val="00523709"/>
    <w:rsid w:val="00536B11"/>
    <w:rsid w:val="0055052C"/>
    <w:rsid w:val="00557F97"/>
    <w:rsid w:val="005C3551"/>
    <w:rsid w:val="005C6C19"/>
    <w:rsid w:val="005E4216"/>
    <w:rsid w:val="005F5AFA"/>
    <w:rsid w:val="006327CF"/>
    <w:rsid w:val="00643FB9"/>
    <w:rsid w:val="00657763"/>
    <w:rsid w:val="00665765"/>
    <w:rsid w:val="006B27FA"/>
    <w:rsid w:val="006C102F"/>
    <w:rsid w:val="006D0F29"/>
    <w:rsid w:val="006E181A"/>
    <w:rsid w:val="006E47A9"/>
    <w:rsid w:val="006E66DB"/>
    <w:rsid w:val="0070470F"/>
    <w:rsid w:val="00710586"/>
    <w:rsid w:val="00785019"/>
    <w:rsid w:val="0078742D"/>
    <w:rsid w:val="007A3489"/>
    <w:rsid w:val="007C53AB"/>
    <w:rsid w:val="007C62F9"/>
    <w:rsid w:val="007D290B"/>
    <w:rsid w:val="007E18EE"/>
    <w:rsid w:val="007F622C"/>
    <w:rsid w:val="00803010"/>
    <w:rsid w:val="0080425D"/>
    <w:rsid w:val="00825C86"/>
    <w:rsid w:val="00827ED9"/>
    <w:rsid w:val="00837163"/>
    <w:rsid w:val="008518D0"/>
    <w:rsid w:val="0086456C"/>
    <w:rsid w:val="008940C9"/>
    <w:rsid w:val="00896ED2"/>
    <w:rsid w:val="008A0D16"/>
    <w:rsid w:val="008A28AF"/>
    <w:rsid w:val="008A6277"/>
    <w:rsid w:val="008A6950"/>
    <w:rsid w:val="008C467B"/>
    <w:rsid w:val="008C7A56"/>
    <w:rsid w:val="008F14F9"/>
    <w:rsid w:val="00900A1A"/>
    <w:rsid w:val="00903354"/>
    <w:rsid w:val="00925E11"/>
    <w:rsid w:val="00933E5E"/>
    <w:rsid w:val="00946DE6"/>
    <w:rsid w:val="00983BAC"/>
    <w:rsid w:val="00985F7F"/>
    <w:rsid w:val="00996C5B"/>
    <w:rsid w:val="009A54B2"/>
    <w:rsid w:val="009C334D"/>
    <w:rsid w:val="009D580C"/>
    <w:rsid w:val="009E64DF"/>
    <w:rsid w:val="009E7916"/>
    <w:rsid w:val="00A22935"/>
    <w:rsid w:val="00A33570"/>
    <w:rsid w:val="00A43002"/>
    <w:rsid w:val="00AA03C3"/>
    <w:rsid w:val="00AA4EF4"/>
    <w:rsid w:val="00AB69E8"/>
    <w:rsid w:val="00AC1FEE"/>
    <w:rsid w:val="00AC75D3"/>
    <w:rsid w:val="00AE2513"/>
    <w:rsid w:val="00AE28F9"/>
    <w:rsid w:val="00AE639F"/>
    <w:rsid w:val="00AF2439"/>
    <w:rsid w:val="00B17C3B"/>
    <w:rsid w:val="00B43327"/>
    <w:rsid w:val="00B43E82"/>
    <w:rsid w:val="00B56DE2"/>
    <w:rsid w:val="00B90AD3"/>
    <w:rsid w:val="00BC3FBA"/>
    <w:rsid w:val="00BC64D2"/>
    <w:rsid w:val="00BD537E"/>
    <w:rsid w:val="00BF1BFC"/>
    <w:rsid w:val="00BF65BB"/>
    <w:rsid w:val="00C125D6"/>
    <w:rsid w:val="00C17542"/>
    <w:rsid w:val="00C343CE"/>
    <w:rsid w:val="00C36995"/>
    <w:rsid w:val="00C6030E"/>
    <w:rsid w:val="00C65A17"/>
    <w:rsid w:val="00C82F79"/>
    <w:rsid w:val="00C9792B"/>
    <w:rsid w:val="00CB1A60"/>
    <w:rsid w:val="00CB4A10"/>
    <w:rsid w:val="00CE20E3"/>
    <w:rsid w:val="00CF65AB"/>
    <w:rsid w:val="00D06A22"/>
    <w:rsid w:val="00D16366"/>
    <w:rsid w:val="00D27C45"/>
    <w:rsid w:val="00D36550"/>
    <w:rsid w:val="00D43975"/>
    <w:rsid w:val="00D52B36"/>
    <w:rsid w:val="00D70292"/>
    <w:rsid w:val="00D93DDB"/>
    <w:rsid w:val="00D94BAE"/>
    <w:rsid w:val="00DA2900"/>
    <w:rsid w:val="00DB4357"/>
    <w:rsid w:val="00DB449F"/>
    <w:rsid w:val="00DE2053"/>
    <w:rsid w:val="00DE3812"/>
    <w:rsid w:val="00DE700C"/>
    <w:rsid w:val="00DE7FF2"/>
    <w:rsid w:val="00DF2F60"/>
    <w:rsid w:val="00E04A50"/>
    <w:rsid w:val="00E12B13"/>
    <w:rsid w:val="00E16029"/>
    <w:rsid w:val="00E249D9"/>
    <w:rsid w:val="00E41F8C"/>
    <w:rsid w:val="00E6502D"/>
    <w:rsid w:val="00E7190D"/>
    <w:rsid w:val="00E77C81"/>
    <w:rsid w:val="00E924E2"/>
    <w:rsid w:val="00EB5A73"/>
    <w:rsid w:val="00EE39F0"/>
    <w:rsid w:val="00EF1B89"/>
    <w:rsid w:val="00F017AB"/>
    <w:rsid w:val="00F1580A"/>
    <w:rsid w:val="00F31DFE"/>
    <w:rsid w:val="00F46536"/>
    <w:rsid w:val="00F47317"/>
    <w:rsid w:val="00F67733"/>
    <w:rsid w:val="00F76049"/>
    <w:rsid w:val="00FB2F54"/>
    <w:rsid w:val="00FD232B"/>
    <w:rsid w:val="00FD6E84"/>
    <w:rsid w:val="00FF414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unhideWhenUsed="0" w:uiPriority="99" w:name="Placeholder Text"/>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uiPriority w:val="99"/>
  </w:style>
  <w:style w:type="paragraph" w:customStyle="1" w:styleId="5">
    <w:name w:val="GBC33333333333333333333333333333"/>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sections xmlns:sc="http://mapping.word.org/2014/section/customize"/>
</file>

<file path=customXml/item3.xml><?xml version="1.0" encoding="utf-8"?>
<b:binding xmlns:b="http://mapping.word.org/2012/binding" xmlns:xlink="xlink" xmlns:clcta-gie="clcta-gie" xmlns:clcta-fte="clcta-fte" xmlns:clcta-be="clcta-be" xmlns:clcta-taf="clcta-taf" xmlns:clcta-ci="clcta-ci">
  <clcta-gie:GongSiFaDingZhongWenMingCheng>江苏吴中医药发展股份有限公司</clcta-gie:GongSiFaDingZhongWenMingCheng>
  <clcta-be:FenPeiJiZhuanZengGuBenGuQuanDengJiRi/>
  <clcta-be:FenPeiJiZhuanZengGuBenBGuGuQuanDengJiRi/>
  <clcta-be:FenPeiJiZhuanZengGuBenBGuZuiHouJiaoYiRi/>
  <clcta-be:FenPeiJiZhuanZengGuBenChuQuanXiRi/>
  <clcta-be:FenPeiJiZhuanZengGuBenBGuXianJinHongLiFaFangRi/>
  <clcta-be:XinZengWuXianShouTiaoJianLiuTongGuFenShangShiLiuTongRi/>
  <clcta-be:FenPeiJiZhuanZengGuBenXianJinHongLiFaFangRi/>
  <clcta-be:FenPeiZhuanZengGuBenFaFangNianDu/>
  <clcta-be:BGuXinZengKeLiuTongGuFenShangShiLiuTongRi/>
  <clcta-be:MeiGuSongHongGuShu xmlns:clcta-be="clcta-be"/>
  <clcta-be:ShuiQianMeiGuXianJinHongLi xmlns:clcta-be="clcta-be"/>
  <clcta-be:MeiGuZhuanZengGuShu xmlns:clcta-be="clcta-be"/>
  <clcta-be:GuFenZongShu/>
  <clcta-be:GuFenZongShu xmlns:clcta-be="clcta-be" periodRef="变动前数"/>
  <clcta-be:GuFenZongShuSongGuBianDongZengJian xmlns:clcta-be="clcta-be"/>
  <clcta-be:GuFenZongShuGongJiJinZhuanGuBianDongZengJian xmlns:clcta-be="clcta-be"/>
  <clcta-be:FenPeiZhuanZengGuBenFaFangZhouQi xmlns:clcta-be="clcta-be"/>
  <clcta-be:GuDongDaHuiZhaoKaiNianDu xmlns:clcta-be="clcta-be"/>
</b:binding>
</file>

<file path=customXml/item4.xml><?xml version="1.0" encoding="utf-8"?>
<m:mapping xmlns:m="http://mapping.word.org/2012/mapping">
  <m:sse><![CDATA[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]]></m:sse>
</m:mapping>
</file>

<file path=customXml/item5.xml><?xml version="1.0" encoding="utf-8"?>
<t:template xmlns:t="http://mapping.word.org/2012/template">
  <t:sse><![CDATA[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]]></t:sse>
</t:template>
</file>

<file path=customXml/itemProps1.xml><?xml version="1.0" encoding="utf-8"?>
<ds:datastoreItem xmlns:ds="http://schemas.openxmlformats.org/officeDocument/2006/customXml" ds:itemID="{7F106C98-728B-4157-B491-BF17511C720C}">
  <ds:schemaRefs/>
</ds:datastoreItem>
</file>

<file path=customXml/itemProps2.xml><?xml version="1.0" encoding="utf-8"?>
<ds:datastoreItem xmlns:ds="http://schemas.openxmlformats.org/officeDocument/2006/customXml" ds:itemID="{BE667228-1461-406C-8A81-C3D1363F20D4}">
  <ds:schemaRefs/>
</ds:datastoreItem>
</file>

<file path=customXml/itemProps3.xml><?xml version="1.0" encoding="utf-8"?>
<ds:datastoreItem xmlns:ds="http://schemas.openxmlformats.org/officeDocument/2006/customXml" ds:itemID="{F9CFF96E-F764-41B9-B1F0-CADBA89E637A}">
  <ds:schemaRefs/>
</ds:datastoreItem>
</file>

<file path=customXml/itemProps4.xml><?xml version="1.0" encoding="utf-8"?>
<ds:datastoreItem xmlns:ds="http://schemas.openxmlformats.org/officeDocument/2006/customXml" ds:itemID="{AB86FA8C-408F-45F7-87B7-CB7DDF9B4897}">
  <ds:schemaRefs/>
</ds:datastoreItem>
</file>

<file path=customXml/itemProps5.xml><?xml version="1.0" encoding="utf-8"?>
<ds:datastoreItem xmlns:ds="http://schemas.openxmlformats.org/officeDocument/2006/customXml" ds:itemID="{99c17e79-4d9b-49de-9069-25f86c6ed84e}">
  <ds:schemaRefs/>
</ds:datastoreItem>
</file>

<file path=docProps/app.xml><?xml version="1.0" encoding="utf-8"?>
<Properties xmlns="http://schemas.openxmlformats.org/officeDocument/2006/extended-properties" xmlns:vt="http://schemas.openxmlformats.org/officeDocument/2006/docPropsVTypes">
  <Template>SSEReport</Template>
  <Pages>6</Pages>
  <Words>1074</Words>
  <Characters>6124</Characters>
  <Lines>51</Lines>
  <Paragraphs>14</Paragraphs>
  <TotalTime>87</TotalTime>
  <ScaleCrop>false</ScaleCrop>
  <LinksUpToDate>false</LinksUpToDate>
  <CharactersWithSpaces>7184</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2024-05-14T07:58:00Z</dcterms:created>
  <dc:creator>yangzq</dc:creator>
  <cp:lastModifiedBy>王雅杰</cp:lastModifiedBy>
  <dcterms:modified xsi:type="dcterms:W3CDTF">2024-05-14T08:07:24Z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937322FF67944616BD80789DCD136689_12</vt:lpwstr>
  </property>
</Properties>
</file>