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9DBD6">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059</w:t>
      </w:r>
    </w:p>
    <w:p w14:paraId="570CC882">
      <w:pPr>
        <w:spacing w:line="360" w:lineRule="auto"/>
        <w:ind w:right="-153" w:rightChars="-73"/>
        <w:jc w:val="center"/>
        <w:rPr>
          <w:rFonts w:hint="eastAsia" w:ascii="黑体" w:hAnsi="宋体" w:eastAsia="黑体"/>
          <w:b/>
          <w:bCs/>
          <w:color w:val="FF0000"/>
          <w:sz w:val="32"/>
        </w:rPr>
      </w:pPr>
    </w:p>
    <w:p w14:paraId="77569AC7">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4C410470">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关于控股股东部分股份质押的公告</w:t>
      </w:r>
    </w:p>
    <w:p w14:paraId="627B4463">
      <w:pPr>
        <w:autoSpaceDE w:val="0"/>
        <w:autoSpaceDN w:val="0"/>
        <w:adjustRightInd w:val="0"/>
        <w:spacing w:line="360" w:lineRule="auto"/>
        <w:ind w:firstLine="482" w:firstLineChars="200"/>
        <w:rPr>
          <w:rFonts w:hint="eastAsia" w:ascii="ˎ̥" w:hAnsi="ˎ̥"/>
          <w:b/>
          <w:sz w:val="24"/>
        </w:rPr>
      </w:pPr>
    </w:p>
    <w:p w14:paraId="6FF06597">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686DAD60">
      <w:pPr>
        <w:spacing w:line="420" w:lineRule="exact"/>
        <w:rPr>
          <w:rFonts w:ascii="宋体" w:cs="宋体"/>
          <w:color w:val="000000"/>
          <w:kern w:val="0"/>
          <w:sz w:val="24"/>
        </w:rPr>
      </w:pPr>
    </w:p>
    <w:p w14:paraId="715145E2">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p>
    <w:p w14:paraId="468D115C">
      <w:pPr>
        <w:numPr>
          <w:ilvl w:val="0"/>
          <w:numId w:val="1"/>
        </w:numPr>
        <w:adjustRightInd w:val="0"/>
        <w:snapToGrid w:val="0"/>
        <w:spacing w:line="360" w:lineRule="auto"/>
        <w:rPr>
          <w:rFonts w:hint="eastAsia" w:ascii="宋体" w:hAnsi="宋体"/>
          <w:sz w:val="24"/>
        </w:rPr>
      </w:pPr>
      <w:r>
        <w:rPr>
          <w:rFonts w:hint="eastAsia" w:ascii="宋体" w:hAnsi="宋体"/>
          <w:sz w:val="24"/>
        </w:rPr>
        <w:t>截至本公告披露日，江苏吴中医药发展股份有限公司（以下简称“公司”）控股股东苏州吴中投资控股有限公司（以下简称“控股股东”）持有公司122,795,762股股份（均为无限售流通股），占公司总股本的17.24%。</w:t>
      </w:r>
    </w:p>
    <w:p w14:paraId="3121DAF7">
      <w:pPr>
        <w:numPr>
          <w:ilvl w:val="0"/>
          <w:numId w:val="1"/>
        </w:numPr>
        <w:adjustRightInd w:val="0"/>
        <w:snapToGrid w:val="0"/>
        <w:spacing w:line="360" w:lineRule="auto"/>
        <w:rPr>
          <w:rFonts w:hint="eastAsia" w:ascii="宋体" w:hAnsi="宋体"/>
          <w:sz w:val="24"/>
        </w:rPr>
      </w:pPr>
      <w:r>
        <w:rPr>
          <w:rFonts w:hint="eastAsia" w:ascii="宋体" w:hAnsi="宋体"/>
          <w:sz w:val="24"/>
        </w:rPr>
        <w:t>本次部分股份质押后，控股股东累计质押股份</w:t>
      </w:r>
      <w:r>
        <w:rPr>
          <w:rFonts w:hint="eastAsia" w:ascii="宋体" w:hAnsi="宋体"/>
          <w:sz w:val="24"/>
          <w:highlight w:val="none"/>
        </w:rPr>
        <w:t>数量104</w:t>
      </w:r>
      <w:r>
        <w:rPr>
          <w:rFonts w:hint="eastAsia" w:ascii="宋体" w:hAnsi="宋体"/>
          <w:sz w:val="24"/>
          <w:highlight w:val="none"/>
          <w:lang w:val="en-US" w:eastAsia="zh-CN"/>
        </w:rPr>
        <w:t>,</w:t>
      </w:r>
      <w:r>
        <w:rPr>
          <w:rFonts w:hint="eastAsia" w:ascii="宋体" w:hAnsi="宋体"/>
          <w:sz w:val="24"/>
          <w:highlight w:val="none"/>
        </w:rPr>
        <w:t>100</w:t>
      </w:r>
      <w:r>
        <w:rPr>
          <w:rFonts w:hint="eastAsia" w:ascii="宋体" w:hAnsi="宋体"/>
          <w:sz w:val="24"/>
          <w:highlight w:val="none"/>
          <w:lang w:val="en-US" w:eastAsia="zh-CN"/>
        </w:rPr>
        <w:t>,</w:t>
      </w:r>
      <w:r>
        <w:rPr>
          <w:rFonts w:hint="eastAsia" w:ascii="宋体" w:hAnsi="宋体"/>
          <w:sz w:val="24"/>
          <w:highlight w:val="none"/>
        </w:rPr>
        <w:t>000股，占其持有公司股份总数的84.77%，占公司总股本的14.62%。</w:t>
      </w:r>
    </w:p>
    <w:p w14:paraId="0B02EAF2">
      <w:pPr>
        <w:spacing w:line="420" w:lineRule="exact"/>
        <w:rPr>
          <w:rFonts w:ascii="宋体" w:cs="宋体"/>
          <w:kern w:val="0"/>
          <w:sz w:val="24"/>
        </w:rPr>
      </w:pPr>
    </w:p>
    <w:p w14:paraId="11951CED">
      <w:pPr>
        <w:spacing w:line="360" w:lineRule="auto"/>
        <w:ind w:firstLine="480"/>
        <w:rPr>
          <w:rFonts w:hint="eastAsia" w:asciiTheme="minorEastAsia" w:hAnsiTheme="minorEastAsia" w:eastAsiaTheme="minorEastAsia"/>
          <w:sz w:val="24"/>
        </w:rPr>
      </w:pPr>
      <w:r>
        <w:rPr>
          <w:rFonts w:hint="eastAsia" w:asciiTheme="minorEastAsia" w:hAnsiTheme="minorEastAsia" w:eastAsiaTheme="minorEastAsia"/>
          <w:sz w:val="24"/>
        </w:rPr>
        <w:t>公司于2024</w:t>
      </w:r>
      <w:r>
        <w:rPr>
          <w:rFonts w:hint="eastAsia" w:asciiTheme="minorEastAsia" w:hAnsiTheme="minorEastAsia" w:eastAsiaTheme="minorEastAsia"/>
          <w:sz w:val="24"/>
          <w:highlight w:val="none"/>
        </w:rPr>
        <w:t>年9月30日</w:t>
      </w:r>
      <w:r>
        <w:rPr>
          <w:rFonts w:hint="eastAsia" w:asciiTheme="minorEastAsia" w:hAnsiTheme="minorEastAsia" w:eastAsiaTheme="minorEastAsia"/>
          <w:sz w:val="24"/>
        </w:rPr>
        <w:t>收到控股股东苏州吴中投资控股有限公司关于部分股份质押的通知，具体情况如下：</w:t>
      </w:r>
    </w:p>
    <w:p w14:paraId="3B7100D0">
      <w:pPr>
        <w:spacing w:after="240" w:line="420" w:lineRule="exact"/>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一、股份质押基本情况</w:t>
      </w:r>
    </w:p>
    <w:p w14:paraId="59D8D4CB">
      <w:pPr>
        <w:spacing w:after="240"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1、本次股份质押基本情况</w:t>
      </w:r>
    </w:p>
    <w:tbl>
      <w:tblPr>
        <w:tblStyle w:val="6"/>
        <w:tblW w:w="10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929"/>
        <w:gridCol w:w="1290"/>
        <w:gridCol w:w="675"/>
        <w:gridCol w:w="675"/>
        <w:gridCol w:w="1035"/>
        <w:gridCol w:w="1155"/>
        <w:gridCol w:w="1320"/>
        <w:gridCol w:w="885"/>
        <w:gridCol w:w="870"/>
        <w:gridCol w:w="909"/>
      </w:tblGrid>
      <w:tr w14:paraId="34A7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7CC8C0E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股东</w:t>
            </w:r>
          </w:p>
          <w:p w14:paraId="0AE9823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929" w:type="dxa"/>
            <w:tcBorders>
              <w:top w:val="single" w:color="auto" w:sz="4" w:space="0"/>
              <w:left w:val="single" w:color="auto" w:sz="4" w:space="0"/>
              <w:bottom w:val="single" w:color="auto" w:sz="4" w:space="0"/>
              <w:right w:val="single" w:color="auto" w:sz="4" w:space="0"/>
            </w:tcBorders>
            <w:vAlign w:val="center"/>
          </w:tcPr>
          <w:p w14:paraId="233834E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w:t>
            </w:r>
          </w:p>
          <w:p w14:paraId="3546F2C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控股股东</w:t>
            </w:r>
          </w:p>
        </w:tc>
        <w:tc>
          <w:tcPr>
            <w:tcW w:w="1290" w:type="dxa"/>
            <w:tcBorders>
              <w:top w:val="single" w:color="auto" w:sz="4" w:space="0"/>
              <w:left w:val="single" w:color="auto" w:sz="4" w:space="0"/>
              <w:bottom w:val="single" w:color="auto" w:sz="4" w:space="0"/>
              <w:right w:val="single" w:color="auto" w:sz="4" w:space="0"/>
            </w:tcBorders>
            <w:vAlign w:val="center"/>
          </w:tcPr>
          <w:p w14:paraId="24C1F1D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本次质押股数(股)</w:t>
            </w:r>
          </w:p>
        </w:tc>
        <w:tc>
          <w:tcPr>
            <w:tcW w:w="675" w:type="dxa"/>
            <w:tcBorders>
              <w:top w:val="single" w:color="auto" w:sz="4" w:space="0"/>
              <w:left w:val="single" w:color="auto" w:sz="4" w:space="0"/>
              <w:bottom w:val="single" w:color="auto" w:sz="4" w:space="0"/>
              <w:right w:val="single" w:color="auto" w:sz="4" w:space="0"/>
            </w:tcBorders>
            <w:vAlign w:val="center"/>
          </w:tcPr>
          <w:p w14:paraId="79590F5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是否为限售股</w:t>
            </w:r>
          </w:p>
        </w:tc>
        <w:tc>
          <w:tcPr>
            <w:tcW w:w="675" w:type="dxa"/>
            <w:tcBorders>
              <w:top w:val="single" w:color="auto" w:sz="4" w:space="0"/>
              <w:left w:val="single" w:color="auto" w:sz="4" w:space="0"/>
              <w:bottom w:val="single" w:color="auto" w:sz="4" w:space="0"/>
              <w:right w:val="single" w:color="auto" w:sz="4" w:space="0"/>
            </w:tcBorders>
            <w:vAlign w:val="center"/>
          </w:tcPr>
          <w:p w14:paraId="0BF3862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是否补充质押</w:t>
            </w:r>
          </w:p>
        </w:tc>
        <w:tc>
          <w:tcPr>
            <w:tcW w:w="1035" w:type="dxa"/>
            <w:tcBorders>
              <w:top w:val="single" w:color="auto" w:sz="4" w:space="0"/>
              <w:left w:val="single" w:color="auto" w:sz="4" w:space="0"/>
              <w:bottom w:val="single" w:color="auto" w:sz="4" w:space="0"/>
              <w:right w:val="single" w:color="auto" w:sz="4" w:space="0"/>
            </w:tcBorders>
            <w:vAlign w:val="center"/>
          </w:tcPr>
          <w:p w14:paraId="1EC26E8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71D9FD1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起始日</w:t>
            </w:r>
          </w:p>
        </w:tc>
        <w:tc>
          <w:tcPr>
            <w:tcW w:w="1155" w:type="dxa"/>
            <w:tcBorders>
              <w:top w:val="single" w:color="auto" w:sz="4" w:space="0"/>
              <w:left w:val="single" w:color="auto" w:sz="4" w:space="0"/>
              <w:bottom w:val="single" w:color="auto" w:sz="4" w:space="0"/>
              <w:right w:val="single" w:color="auto" w:sz="4" w:space="0"/>
            </w:tcBorders>
            <w:vAlign w:val="center"/>
          </w:tcPr>
          <w:p w14:paraId="3F6371E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39909F7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到期日</w:t>
            </w:r>
          </w:p>
        </w:tc>
        <w:tc>
          <w:tcPr>
            <w:tcW w:w="1320" w:type="dxa"/>
            <w:tcBorders>
              <w:top w:val="single" w:color="auto" w:sz="4" w:space="0"/>
              <w:left w:val="single" w:color="auto" w:sz="4" w:space="0"/>
              <w:bottom w:val="single" w:color="auto" w:sz="4" w:space="0"/>
              <w:right w:val="single" w:color="auto" w:sz="4" w:space="0"/>
            </w:tcBorders>
            <w:vAlign w:val="center"/>
          </w:tcPr>
          <w:p w14:paraId="43FD19E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质权人</w:t>
            </w:r>
          </w:p>
        </w:tc>
        <w:tc>
          <w:tcPr>
            <w:tcW w:w="885" w:type="dxa"/>
            <w:tcBorders>
              <w:top w:val="single" w:color="auto" w:sz="4" w:space="0"/>
              <w:left w:val="single" w:color="auto" w:sz="4" w:space="0"/>
              <w:bottom w:val="single" w:color="auto" w:sz="4" w:space="0"/>
              <w:right w:val="single" w:color="auto" w:sz="4" w:space="0"/>
            </w:tcBorders>
            <w:vAlign w:val="center"/>
          </w:tcPr>
          <w:p w14:paraId="099B3DA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占其所持股份比例</w:t>
            </w:r>
          </w:p>
        </w:tc>
        <w:tc>
          <w:tcPr>
            <w:tcW w:w="870" w:type="dxa"/>
            <w:tcBorders>
              <w:top w:val="single" w:color="auto" w:sz="4" w:space="0"/>
              <w:left w:val="single" w:color="auto" w:sz="4" w:space="0"/>
              <w:bottom w:val="single" w:color="auto" w:sz="4" w:space="0"/>
              <w:right w:val="single" w:color="auto" w:sz="4" w:space="0"/>
            </w:tcBorders>
            <w:vAlign w:val="center"/>
          </w:tcPr>
          <w:p w14:paraId="31877B4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占公司总股本比例</w:t>
            </w:r>
          </w:p>
        </w:tc>
        <w:tc>
          <w:tcPr>
            <w:tcW w:w="909" w:type="dxa"/>
            <w:tcBorders>
              <w:top w:val="single" w:color="auto" w:sz="4" w:space="0"/>
              <w:left w:val="single" w:color="auto" w:sz="4" w:space="0"/>
              <w:bottom w:val="single" w:color="auto" w:sz="4" w:space="0"/>
              <w:right w:val="single" w:color="auto" w:sz="4" w:space="0"/>
            </w:tcBorders>
            <w:vAlign w:val="center"/>
          </w:tcPr>
          <w:p w14:paraId="7842501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质押融资资金用途</w:t>
            </w:r>
          </w:p>
        </w:tc>
      </w:tr>
      <w:tr w14:paraId="73A0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5DE2D9E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苏州吴中投资控股有限公司</w:t>
            </w:r>
          </w:p>
        </w:tc>
        <w:tc>
          <w:tcPr>
            <w:tcW w:w="929" w:type="dxa"/>
            <w:tcBorders>
              <w:top w:val="single" w:color="auto" w:sz="4" w:space="0"/>
              <w:left w:val="single" w:color="auto" w:sz="4" w:space="0"/>
              <w:bottom w:val="single" w:color="auto" w:sz="4" w:space="0"/>
              <w:right w:val="single" w:color="auto" w:sz="4" w:space="0"/>
            </w:tcBorders>
            <w:vAlign w:val="center"/>
          </w:tcPr>
          <w:p w14:paraId="26CD545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w:t>
            </w:r>
          </w:p>
        </w:tc>
        <w:tc>
          <w:tcPr>
            <w:tcW w:w="1290" w:type="dxa"/>
            <w:tcBorders>
              <w:top w:val="single" w:color="auto" w:sz="4" w:space="0"/>
              <w:left w:val="single" w:color="auto" w:sz="4" w:space="0"/>
              <w:bottom w:val="single" w:color="auto" w:sz="4" w:space="0"/>
              <w:right w:val="single" w:color="auto" w:sz="4" w:space="0"/>
            </w:tcBorders>
            <w:vAlign w:val="center"/>
          </w:tcPr>
          <w:p w14:paraId="517C3F3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9,650,000</w:t>
            </w:r>
          </w:p>
        </w:tc>
        <w:tc>
          <w:tcPr>
            <w:tcW w:w="675" w:type="dxa"/>
            <w:tcBorders>
              <w:top w:val="single" w:color="auto" w:sz="4" w:space="0"/>
              <w:left w:val="single" w:color="auto" w:sz="4" w:space="0"/>
              <w:bottom w:val="single" w:color="auto" w:sz="4" w:space="0"/>
              <w:right w:val="single" w:color="auto" w:sz="4" w:space="0"/>
            </w:tcBorders>
            <w:vAlign w:val="center"/>
          </w:tcPr>
          <w:p w14:paraId="16851F1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否</w:t>
            </w:r>
          </w:p>
        </w:tc>
        <w:tc>
          <w:tcPr>
            <w:tcW w:w="675" w:type="dxa"/>
            <w:tcBorders>
              <w:top w:val="single" w:color="auto" w:sz="4" w:space="0"/>
              <w:left w:val="single" w:color="auto" w:sz="4" w:space="0"/>
              <w:bottom w:val="single" w:color="auto" w:sz="4" w:space="0"/>
              <w:right w:val="single" w:color="auto" w:sz="4" w:space="0"/>
            </w:tcBorders>
            <w:vAlign w:val="center"/>
          </w:tcPr>
          <w:p w14:paraId="1FFCE06C">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否</w:t>
            </w:r>
          </w:p>
        </w:tc>
        <w:tc>
          <w:tcPr>
            <w:tcW w:w="1035" w:type="dxa"/>
            <w:tcBorders>
              <w:top w:val="single" w:color="auto" w:sz="4" w:space="0"/>
              <w:left w:val="single" w:color="auto" w:sz="4" w:space="0"/>
              <w:bottom w:val="single" w:color="auto" w:sz="4" w:space="0"/>
              <w:right w:val="single" w:color="auto" w:sz="4" w:space="0"/>
            </w:tcBorders>
            <w:vAlign w:val="center"/>
          </w:tcPr>
          <w:p w14:paraId="3C8E227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2024年9月27日</w:t>
            </w:r>
          </w:p>
        </w:tc>
        <w:tc>
          <w:tcPr>
            <w:tcW w:w="1155" w:type="dxa"/>
            <w:tcBorders>
              <w:top w:val="single" w:color="auto" w:sz="4" w:space="0"/>
              <w:left w:val="single" w:color="auto" w:sz="4" w:space="0"/>
              <w:bottom w:val="single" w:color="auto" w:sz="4" w:space="0"/>
              <w:right w:val="single" w:color="auto" w:sz="4" w:space="0"/>
            </w:tcBorders>
            <w:vAlign w:val="center"/>
          </w:tcPr>
          <w:p w14:paraId="5263AF5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2024年12月30日</w:t>
            </w:r>
          </w:p>
        </w:tc>
        <w:tc>
          <w:tcPr>
            <w:tcW w:w="1320" w:type="dxa"/>
            <w:tcBorders>
              <w:top w:val="single" w:color="auto" w:sz="4" w:space="0"/>
              <w:left w:val="single" w:color="auto" w:sz="4" w:space="0"/>
              <w:right w:val="single" w:color="auto" w:sz="4" w:space="0"/>
            </w:tcBorders>
            <w:vAlign w:val="center"/>
          </w:tcPr>
          <w:p w14:paraId="72A5728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苏州南社科技发展有限公司</w:t>
            </w:r>
          </w:p>
        </w:tc>
        <w:tc>
          <w:tcPr>
            <w:tcW w:w="885" w:type="dxa"/>
            <w:tcBorders>
              <w:top w:val="single" w:color="auto" w:sz="4" w:space="0"/>
              <w:left w:val="single" w:color="auto" w:sz="4" w:space="0"/>
              <w:bottom w:val="single" w:color="auto" w:sz="4" w:space="0"/>
              <w:right w:val="single" w:color="auto" w:sz="4" w:space="0"/>
            </w:tcBorders>
            <w:vAlign w:val="center"/>
          </w:tcPr>
          <w:p w14:paraId="2D14ACA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7.86%</w:t>
            </w:r>
          </w:p>
        </w:tc>
        <w:tc>
          <w:tcPr>
            <w:tcW w:w="870" w:type="dxa"/>
            <w:tcBorders>
              <w:top w:val="single" w:color="auto" w:sz="4" w:space="0"/>
              <w:left w:val="single" w:color="auto" w:sz="4" w:space="0"/>
              <w:bottom w:val="single" w:color="auto" w:sz="4" w:space="0"/>
              <w:right w:val="single" w:color="auto" w:sz="4" w:space="0"/>
            </w:tcBorders>
            <w:vAlign w:val="center"/>
          </w:tcPr>
          <w:p w14:paraId="2127007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1.35%</w:t>
            </w:r>
          </w:p>
        </w:tc>
        <w:tc>
          <w:tcPr>
            <w:tcW w:w="909" w:type="dxa"/>
            <w:tcBorders>
              <w:top w:val="single" w:color="auto" w:sz="4" w:space="0"/>
              <w:left w:val="single" w:color="auto" w:sz="4" w:space="0"/>
              <w:bottom w:val="single" w:color="auto" w:sz="4" w:space="0"/>
              <w:right w:val="single" w:color="auto" w:sz="4" w:space="0"/>
            </w:tcBorders>
            <w:vAlign w:val="center"/>
          </w:tcPr>
          <w:p w14:paraId="7654592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自身生产经营</w:t>
            </w:r>
          </w:p>
        </w:tc>
      </w:tr>
      <w:tr w14:paraId="0383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3443D8C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929" w:type="dxa"/>
            <w:tcBorders>
              <w:top w:val="single" w:color="auto" w:sz="4" w:space="0"/>
              <w:left w:val="single" w:color="auto" w:sz="4" w:space="0"/>
              <w:bottom w:val="single" w:color="auto" w:sz="4" w:space="0"/>
              <w:right w:val="single" w:color="auto" w:sz="4" w:space="0"/>
            </w:tcBorders>
            <w:vAlign w:val="center"/>
          </w:tcPr>
          <w:p w14:paraId="4EDDCA5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290" w:type="dxa"/>
            <w:tcBorders>
              <w:top w:val="single" w:color="auto" w:sz="4" w:space="0"/>
              <w:left w:val="single" w:color="auto" w:sz="4" w:space="0"/>
              <w:bottom w:val="single" w:color="auto" w:sz="4" w:space="0"/>
              <w:right w:val="single" w:color="auto" w:sz="4" w:space="0"/>
            </w:tcBorders>
            <w:vAlign w:val="center"/>
          </w:tcPr>
          <w:p w14:paraId="711E4E5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9,650,000</w:t>
            </w:r>
          </w:p>
        </w:tc>
        <w:tc>
          <w:tcPr>
            <w:tcW w:w="675" w:type="dxa"/>
            <w:tcBorders>
              <w:top w:val="single" w:color="auto" w:sz="4" w:space="0"/>
              <w:left w:val="single" w:color="auto" w:sz="4" w:space="0"/>
              <w:bottom w:val="single" w:color="auto" w:sz="4" w:space="0"/>
              <w:right w:val="single" w:color="auto" w:sz="4" w:space="0"/>
            </w:tcBorders>
            <w:vAlign w:val="center"/>
          </w:tcPr>
          <w:p w14:paraId="31FE750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675" w:type="dxa"/>
            <w:tcBorders>
              <w:top w:val="single" w:color="auto" w:sz="4" w:space="0"/>
              <w:left w:val="single" w:color="auto" w:sz="4" w:space="0"/>
              <w:bottom w:val="single" w:color="auto" w:sz="4" w:space="0"/>
              <w:right w:val="single" w:color="auto" w:sz="4" w:space="0"/>
            </w:tcBorders>
            <w:vAlign w:val="center"/>
          </w:tcPr>
          <w:p w14:paraId="6D8C03E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035" w:type="dxa"/>
            <w:tcBorders>
              <w:top w:val="single" w:color="auto" w:sz="4" w:space="0"/>
              <w:left w:val="single" w:color="auto" w:sz="4" w:space="0"/>
              <w:bottom w:val="single" w:color="auto" w:sz="4" w:space="0"/>
              <w:right w:val="single" w:color="auto" w:sz="4" w:space="0"/>
            </w:tcBorders>
            <w:vAlign w:val="center"/>
          </w:tcPr>
          <w:p w14:paraId="54BDF36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155" w:type="dxa"/>
            <w:tcBorders>
              <w:top w:val="single" w:color="auto" w:sz="4" w:space="0"/>
              <w:left w:val="single" w:color="auto" w:sz="4" w:space="0"/>
              <w:bottom w:val="single" w:color="auto" w:sz="4" w:space="0"/>
              <w:right w:val="single" w:color="auto" w:sz="4" w:space="0"/>
            </w:tcBorders>
            <w:vAlign w:val="center"/>
          </w:tcPr>
          <w:p w14:paraId="616C6FD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320" w:type="dxa"/>
            <w:tcBorders>
              <w:left w:val="single" w:color="auto" w:sz="4" w:space="0"/>
              <w:bottom w:val="single" w:color="auto" w:sz="4" w:space="0"/>
              <w:right w:val="single" w:color="auto" w:sz="4" w:space="0"/>
            </w:tcBorders>
            <w:vAlign w:val="center"/>
          </w:tcPr>
          <w:p w14:paraId="4CB90CF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885" w:type="dxa"/>
            <w:tcBorders>
              <w:top w:val="single" w:color="auto" w:sz="4" w:space="0"/>
              <w:left w:val="single" w:color="auto" w:sz="4" w:space="0"/>
              <w:bottom w:val="single" w:color="auto" w:sz="4" w:space="0"/>
              <w:right w:val="single" w:color="auto" w:sz="4" w:space="0"/>
            </w:tcBorders>
            <w:vAlign w:val="center"/>
          </w:tcPr>
          <w:p w14:paraId="34EE736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7.86%</w:t>
            </w:r>
          </w:p>
        </w:tc>
        <w:tc>
          <w:tcPr>
            <w:tcW w:w="870" w:type="dxa"/>
            <w:tcBorders>
              <w:top w:val="single" w:color="auto" w:sz="4" w:space="0"/>
              <w:left w:val="single" w:color="auto" w:sz="4" w:space="0"/>
              <w:bottom w:val="single" w:color="auto" w:sz="4" w:space="0"/>
              <w:right w:val="single" w:color="auto" w:sz="4" w:space="0"/>
            </w:tcBorders>
            <w:vAlign w:val="center"/>
          </w:tcPr>
          <w:p w14:paraId="7357933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1.35%</w:t>
            </w:r>
          </w:p>
        </w:tc>
        <w:tc>
          <w:tcPr>
            <w:tcW w:w="909" w:type="dxa"/>
            <w:tcBorders>
              <w:top w:val="single" w:color="auto" w:sz="4" w:space="0"/>
              <w:left w:val="single" w:color="auto" w:sz="4" w:space="0"/>
              <w:bottom w:val="single" w:color="auto" w:sz="4" w:space="0"/>
              <w:right w:val="single" w:color="auto" w:sz="4" w:space="0"/>
            </w:tcBorders>
            <w:vAlign w:val="center"/>
          </w:tcPr>
          <w:p w14:paraId="3176EED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r>
    </w:tbl>
    <w:p w14:paraId="1EA11805">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2、本次质押股份不存在被用作重大资产重组业绩补偿等事项的担保或其他保障用途等情况。</w:t>
      </w:r>
    </w:p>
    <w:p w14:paraId="5810DCA9">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3、股东累计质押股份情况</w:t>
      </w:r>
    </w:p>
    <w:p w14:paraId="05874D62">
      <w:pPr>
        <w:adjustRightInd w:val="0"/>
        <w:snapToGrid w:val="0"/>
        <w:spacing w:line="5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1371"/>
        <w:gridCol w:w="846"/>
        <w:gridCol w:w="1266"/>
        <w:gridCol w:w="1371"/>
        <w:gridCol w:w="846"/>
        <w:gridCol w:w="846"/>
        <w:gridCol w:w="936"/>
        <w:gridCol w:w="830"/>
        <w:gridCol w:w="835"/>
        <w:gridCol w:w="882"/>
      </w:tblGrid>
      <w:tr w14:paraId="789B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restart"/>
            <w:tcBorders>
              <w:top w:val="single" w:color="auto" w:sz="4" w:space="0"/>
              <w:left w:val="single" w:color="auto" w:sz="4" w:space="0"/>
              <w:right w:val="single" w:color="auto" w:sz="4" w:space="0"/>
            </w:tcBorders>
            <w:vAlign w:val="center"/>
          </w:tcPr>
          <w:p w14:paraId="2530D920">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股东名称</w:t>
            </w:r>
          </w:p>
        </w:tc>
        <w:tc>
          <w:tcPr>
            <w:tcW w:w="619" w:type="pct"/>
            <w:vMerge w:val="restart"/>
            <w:tcBorders>
              <w:top w:val="single" w:color="auto" w:sz="4" w:space="0"/>
              <w:left w:val="single" w:color="auto" w:sz="4" w:space="0"/>
              <w:right w:val="single" w:color="auto" w:sz="4" w:space="0"/>
            </w:tcBorders>
            <w:vAlign w:val="center"/>
          </w:tcPr>
          <w:p w14:paraId="570D308C">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2" w:type="pct"/>
            <w:vMerge w:val="restart"/>
            <w:tcBorders>
              <w:top w:val="single" w:color="auto" w:sz="4" w:space="0"/>
              <w:left w:val="single" w:color="auto" w:sz="4" w:space="0"/>
              <w:right w:val="single" w:color="auto" w:sz="4" w:space="0"/>
            </w:tcBorders>
            <w:vAlign w:val="center"/>
          </w:tcPr>
          <w:p w14:paraId="339A9457">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持股比例</w:t>
            </w:r>
          </w:p>
        </w:tc>
        <w:tc>
          <w:tcPr>
            <w:tcW w:w="572" w:type="pct"/>
            <w:vMerge w:val="restart"/>
            <w:tcBorders>
              <w:top w:val="single" w:color="auto" w:sz="4" w:space="0"/>
              <w:left w:val="single" w:color="auto" w:sz="4" w:space="0"/>
              <w:right w:val="single" w:color="auto" w:sz="4" w:space="0"/>
            </w:tcBorders>
            <w:vAlign w:val="center"/>
          </w:tcPr>
          <w:p w14:paraId="14400E2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本次质押前累计质押数量(股)</w:t>
            </w:r>
          </w:p>
        </w:tc>
        <w:tc>
          <w:tcPr>
            <w:tcW w:w="572" w:type="pct"/>
            <w:vMerge w:val="restart"/>
            <w:tcBorders>
              <w:top w:val="single" w:color="auto" w:sz="4" w:space="0"/>
              <w:left w:val="single" w:color="auto" w:sz="4" w:space="0"/>
              <w:right w:val="single" w:color="auto" w:sz="4" w:space="0"/>
            </w:tcBorders>
            <w:vAlign w:val="center"/>
          </w:tcPr>
          <w:p w14:paraId="6EAEED6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本次质押后累计质押数量(股)</w:t>
            </w:r>
          </w:p>
        </w:tc>
        <w:tc>
          <w:tcPr>
            <w:tcW w:w="382" w:type="pct"/>
            <w:vMerge w:val="restart"/>
            <w:tcBorders>
              <w:top w:val="single" w:color="auto" w:sz="4" w:space="0"/>
              <w:left w:val="single" w:color="auto" w:sz="4" w:space="0"/>
              <w:right w:val="single" w:color="auto" w:sz="4" w:space="0"/>
            </w:tcBorders>
            <w:vAlign w:val="center"/>
          </w:tcPr>
          <w:p w14:paraId="5E657FB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2" w:type="pct"/>
            <w:vMerge w:val="restart"/>
            <w:tcBorders>
              <w:top w:val="single" w:color="auto" w:sz="4" w:space="0"/>
              <w:left w:val="single" w:color="auto" w:sz="4" w:space="0"/>
              <w:right w:val="single" w:color="auto" w:sz="4" w:space="0"/>
            </w:tcBorders>
            <w:vAlign w:val="center"/>
          </w:tcPr>
          <w:p w14:paraId="2448F163">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21" w:type="pct"/>
            <w:gridSpan w:val="2"/>
            <w:tcBorders>
              <w:top w:val="single" w:color="auto" w:sz="4" w:space="0"/>
              <w:left w:val="single" w:color="auto" w:sz="4" w:space="0"/>
              <w:bottom w:val="single" w:color="auto" w:sz="4" w:space="0"/>
              <w:right w:val="single" w:color="auto" w:sz="4" w:space="0"/>
            </w:tcBorders>
            <w:vAlign w:val="center"/>
          </w:tcPr>
          <w:p w14:paraId="224CCF2E">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791" w:type="pct"/>
            <w:gridSpan w:val="2"/>
            <w:tcBorders>
              <w:top w:val="single" w:color="auto" w:sz="4" w:space="0"/>
              <w:left w:val="single" w:color="auto" w:sz="4" w:space="0"/>
              <w:right w:val="single" w:color="auto" w:sz="4" w:space="0"/>
            </w:tcBorders>
            <w:vAlign w:val="center"/>
          </w:tcPr>
          <w:p w14:paraId="02E3FCF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1C76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continue"/>
            <w:tcBorders>
              <w:left w:val="single" w:color="auto" w:sz="4" w:space="0"/>
              <w:bottom w:val="single" w:color="auto" w:sz="4" w:space="0"/>
              <w:right w:val="single" w:color="auto" w:sz="4" w:space="0"/>
            </w:tcBorders>
            <w:vAlign w:val="center"/>
          </w:tcPr>
          <w:p w14:paraId="71B0617D">
            <w:pPr>
              <w:jc w:val="center"/>
              <w:rPr>
                <w:rFonts w:hint="eastAsia" w:asciiTheme="minorEastAsia" w:hAnsiTheme="minorEastAsia" w:eastAsiaTheme="minorEastAsia"/>
                <w:szCs w:val="21"/>
              </w:rPr>
            </w:pPr>
          </w:p>
        </w:tc>
        <w:tc>
          <w:tcPr>
            <w:tcW w:w="619" w:type="pct"/>
            <w:vMerge w:val="continue"/>
            <w:tcBorders>
              <w:left w:val="single" w:color="auto" w:sz="4" w:space="0"/>
              <w:bottom w:val="single" w:color="auto" w:sz="4" w:space="0"/>
              <w:right w:val="single" w:color="auto" w:sz="4" w:space="0"/>
            </w:tcBorders>
            <w:vAlign w:val="center"/>
          </w:tcPr>
          <w:p w14:paraId="1D80A99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600AB4E0">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tcPr>
          <w:p w14:paraId="640792D4">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vAlign w:val="center"/>
          </w:tcPr>
          <w:p w14:paraId="1D41EA9F">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2FA0F44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196230A">
            <w:pPr>
              <w:jc w:val="center"/>
              <w:rPr>
                <w:rFonts w:hint="eastAsia" w:asciiTheme="minorEastAsia" w:hAnsiTheme="minorEastAsia" w:eastAsiaTheme="minorEastAsia"/>
                <w:szCs w:val="21"/>
              </w:rPr>
            </w:pPr>
          </w:p>
        </w:tc>
        <w:tc>
          <w:tcPr>
            <w:tcW w:w="438" w:type="pct"/>
            <w:tcBorders>
              <w:top w:val="single" w:color="auto" w:sz="4" w:space="0"/>
              <w:left w:val="single" w:color="auto" w:sz="4" w:space="0"/>
              <w:bottom w:val="single" w:color="auto" w:sz="4" w:space="0"/>
              <w:right w:val="single" w:color="auto" w:sz="4" w:space="0"/>
            </w:tcBorders>
            <w:vAlign w:val="center"/>
          </w:tcPr>
          <w:p w14:paraId="0231EDF4">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383" w:type="pct"/>
            <w:tcBorders>
              <w:left w:val="single" w:color="auto" w:sz="4" w:space="0"/>
              <w:bottom w:val="single" w:color="auto" w:sz="4" w:space="0"/>
              <w:right w:val="single" w:color="auto" w:sz="4" w:space="0"/>
            </w:tcBorders>
            <w:vAlign w:val="center"/>
          </w:tcPr>
          <w:p w14:paraId="3E0420E8">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85" w:type="pct"/>
            <w:tcBorders>
              <w:left w:val="single" w:color="auto" w:sz="4" w:space="0"/>
              <w:bottom w:val="single" w:color="auto" w:sz="4" w:space="0"/>
              <w:right w:val="single" w:color="auto" w:sz="4" w:space="0"/>
            </w:tcBorders>
            <w:vAlign w:val="center"/>
          </w:tcPr>
          <w:p w14:paraId="037AF1C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406" w:type="pct"/>
            <w:tcBorders>
              <w:left w:val="single" w:color="auto" w:sz="4" w:space="0"/>
              <w:bottom w:val="single" w:color="auto" w:sz="4" w:space="0"/>
              <w:right w:val="single" w:color="auto" w:sz="4" w:space="0"/>
            </w:tcBorders>
            <w:vAlign w:val="center"/>
          </w:tcPr>
          <w:p w14:paraId="230CB7E3">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582B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5A023336">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14:paraId="6888CDA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7ABA9348">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572" w:type="pct"/>
            <w:tcBorders>
              <w:top w:val="single" w:color="auto" w:sz="4" w:space="0"/>
              <w:left w:val="single" w:color="auto" w:sz="4" w:space="0"/>
              <w:bottom w:val="single" w:color="auto" w:sz="4" w:space="0"/>
              <w:right w:val="single" w:color="auto" w:sz="4" w:space="0"/>
            </w:tcBorders>
            <w:vAlign w:val="center"/>
          </w:tcPr>
          <w:p w14:paraId="3C5F916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94,45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000</w:t>
            </w:r>
          </w:p>
        </w:tc>
        <w:tc>
          <w:tcPr>
            <w:tcW w:w="572" w:type="pct"/>
            <w:tcBorders>
              <w:top w:val="single" w:color="auto" w:sz="4" w:space="0"/>
              <w:left w:val="single" w:color="auto" w:sz="4" w:space="0"/>
              <w:bottom w:val="single" w:color="auto" w:sz="4" w:space="0"/>
              <w:right w:val="single" w:color="auto" w:sz="4" w:space="0"/>
            </w:tcBorders>
            <w:vAlign w:val="center"/>
          </w:tcPr>
          <w:p w14:paraId="0223EB3F">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104，10</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w:t>
            </w:r>
            <w:r>
              <w:rPr>
                <w:rFonts w:hint="eastAsia" w:asciiTheme="minorEastAsia" w:hAnsiTheme="minorEastAsia" w:eastAsiaTheme="minorEastAsia"/>
                <w:szCs w:val="21"/>
                <w:highlight w:val="none"/>
              </w:rPr>
              <w:t>0</w:t>
            </w:r>
          </w:p>
        </w:tc>
        <w:tc>
          <w:tcPr>
            <w:tcW w:w="382" w:type="pct"/>
            <w:tcBorders>
              <w:top w:val="single" w:color="auto" w:sz="4" w:space="0"/>
              <w:left w:val="single" w:color="auto" w:sz="4" w:space="0"/>
              <w:bottom w:val="single" w:color="auto" w:sz="4" w:space="0"/>
              <w:right w:val="single" w:color="auto" w:sz="4" w:space="0"/>
            </w:tcBorders>
            <w:vAlign w:val="center"/>
          </w:tcPr>
          <w:p w14:paraId="462497E0">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84.77</w:t>
            </w:r>
            <w:r>
              <w:rPr>
                <w:rFonts w:asciiTheme="minorEastAsia" w:hAnsiTheme="minorEastAsia" w:eastAsiaTheme="minorEastAsia"/>
                <w:szCs w:val="21"/>
                <w:highlight w:val="none"/>
              </w:rPr>
              <w:t>%</w:t>
            </w:r>
          </w:p>
        </w:tc>
        <w:tc>
          <w:tcPr>
            <w:tcW w:w="382" w:type="pct"/>
            <w:tcBorders>
              <w:top w:val="single" w:color="auto" w:sz="4" w:space="0"/>
              <w:left w:val="single" w:color="auto" w:sz="4" w:space="0"/>
              <w:bottom w:val="single" w:color="auto" w:sz="4" w:space="0"/>
              <w:right w:val="single" w:color="auto" w:sz="4" w:space="0"/>
            </w:tcBorders>
            <w:vAlign w:val="center"/>
          </w:tcPr>
          <w:p w14:paraId="3DD6A6D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14</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62</w:t>
            </w:r>
            <w:r>
              <w:rPr>
                <w:rFonts w:asciiTheme="minorEastAsia" w:hAnsiTheme="minorEastAsia" w:eastAsiaTheme="minorEastAsia"/>
                <w:szCs w:val="21"/>
                <w:highlight w:val="none"/>
              </w:rPr>
              <w:t>%</w:t>
            </w:r>
          </w:p>
        </w:tc>
        <w:tc>
          <w:tcPr>
            <w:tcW w:w="438" w:type="pct"/>
            <w:tcBorders>
              <w:top w:val="single" w:color="auto" w:sz="4" w:space="0"/>
              <w:left w:val="single" w:color="auto" w:sz="4" w:space="0"/>
              <w:bottom w:val="single" w:color="auto" w:sz="4" w:space="0"/>
              <w:right w:val="single" w:color="auto" w:sz="4" w:space="0"/>
            </w:tcBorders>
            <w:vAlign w:val="center"/>
          </w:tcPr>
          <w:p w14:paraId="301B5BD5">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383" w:type="pct"/>
            <w:tcBorders>
              <w:top w:val="single" w:color="auto" w:sz="4" w:space="0"/>
              <w:left w:val="single" w:color="auto" w:sz="4" w:space="0"/>
              <w:bottom w:val="single" w:color="auto" w:sz="4" w:space="0"/>
              <w:right w:val="single" w:color="auto" w:sz="4" w:space="0"/>
            </w:tcBorders>
            <w:vAlign w:val="center"/>
          </w:tcPr>
          <w:p w14:paraId="6D2C3C1A">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385" w:type="pct"/>
            <w:tcBorders>
              <w:top w:val="single" w:color="auto" w:sz="4" w:space="0"/>
              <w:left w:val="single" w:color="auto" w:sz="4" w:space="0"/>
              <w:bottom w:val="single" w:color="auto" w:sz="4" w:space="0"/>
              <w:right w:val="single" w:color="auto" w:sz="4" w:space="0"/>
            </w:tcBorders>
            <w:vAlign w:val="center"/>
          </w:tcPr>
          <w:p w14:paraId="0FB1355E">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406" w:type="pct"/>
            <w:tcBorders>
              <w:top w:val="single" w:color="auto" w:sz="4" w:space="0"/>
              <w:left w:val="single" w:color="auto" w:sz="4" w:space="0"/>
              <w:bottom w:val="single" w:color="auto" w:sz="4" w:space="0"/>
              <w:right w:val="single" w:color="auto" w:sz="4" w:space="0"/>
            </w:tcBorders>
            <w:vAlign w:val="center"/>
          </w:tcPr>
          <w:p w14:paraId="57034D43">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r>
      <w:tr w14:paraId="3931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43188098">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619" w:type="pct"/>
            <w:tcBorders>
              <w:top w:val="single" w:color="auto" w:sz="4" w:space="0"/>
              <w:left w:val="single" w:color="auto" w:sz="4" w:space="0"/>
              <w:bottom w:val="single" w:color="auto" w:sz="4" w:space="0"/>
              <w:right w:val="single" w:color="auto" w:sz="4" w:space="0"/>
            </w:tcBorders>
            <w:vAlign w:val="center"/>
          </w:tcPr>
          <w:p w14:paraId="49697CD8">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195E444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1266" w:type="dxa"/>
            <w:tcBorders>
              <w:top w:val="single" w:color="auto" w:sz="4" w:space="0"/>
              <w:left w:val="single" w:color="auto" w:sz="4" w:space="0"/>
              <w:bottom w:val="single" w:color="auto" w:sz="4" w:space="0"/>
              <w:right w:val="single" w:color="auto" w:sz="4" w:space="0"/>
            </w:tcBorders>
            <w:vAlign w:val="center"/>
          </w:tcPr>
          <w:p w14:paraId="4E8B610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94,45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000</w:t>
            </w:r>
          </w:p>
        </w:tc>
        <w:tc>
          <w:tcPr>
            <w:tcW w:w="1371" w:type="dxa"/>
            <w:tcBorders>
              <w:top w:val="single" w:color="auto" w:sz="4" w:space="0"/>
              <w:left w:val="single" w:color="auto" w:sz="4" w:space="0"/>
              <w:bottom w:val="single" w:color="auto" w:sz="4" w:space="0"/>
              <w:right w:val="single" w:color="auto" w:sz="4" w:space="0"/>
            </w:tcBorders>
            <w:vAlign w:val="center"/>
          </w:tcPr>
          <w:p w14:paraId="102EA8A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104,10</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w:t>
            </w:r>
            <w:r>
              <w:rPr>
                <w:rFonts w:hint="eastAsia" w:asciiTheme="minorEastAsia" w:hAnsiTheme="minorEastAsia" w:eastAsiaTheme="minorEastAsia"/>
                <w:szCs w:val="21"/>
                <w:highlight w:val="none"/>
              </w:rPr>
              <w:t>0</w:t>
            </w:r>
          </w:p>
        </w:tc>
        <w:tc>
          <w:tcPr>
            <w:tcW w:w="846" w:type="dxa"/>
            <w:tcBorders>
              <w:top w:val="single" w:color="auto" w:sz="4" w:space="0"/>
              <w:left w:val="single" w:color="auto" w:sz="4" w:space="0"/>
              <w:bottom w:val="single" w:color="auto" w:sz="4" w:space="0"/>
              <w:right w:val="single" w:color="auto" w:sz="4" w:space="0"/>
            </w:tcBorders>
            <w:vAlign w:val="center"/>
          </w:tcPr>
          <w:p w14:paraId="6AF37FC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84.77</w:t>
            </w:r>
            <w:r>
              <w:rPr>
                <w:rFonts w:asciiTheme="minorEastAsia" w:hAnsiTheme="minorEastAsia" w:eastAsiaTheme="minorEastAsia"/>
                <w:szCs w:val="21"/>
                <w:highlight w:val="none"/>
              </w:rPr>
              <w:t>%</w:t>
            </w:r>
          </w:p>
        </w:tc>
        <w:tc>
          <w:tcPr>
            <w:tcW w:w="846" w:type="dxa"/>
            <w:tcBorders>
              <w:top w:val="single" w:color="auto" w:sz="4" w:space="0"/>
              <w:left w:val="single" w:color="auto" w:sz="4" w:space="0"/>
              <w:bottom w:val="single" w:color="auto" w:sz="4" w:space="0"/>
              <w:right w:val="single" w:color="auto" w:sz="4" w:space="0"/>
            </w:tcBorders>
            <w:vAlign w:val="center"/>
          </w:tcPr>
          <w:p w14:paraId="08B71A42">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14</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62</w:t>
            </w:r>
            <w:r>
              <w:rPr>
                <w:rFonts w:asciiTheme="minorEastAsia" w:hAnsiTheme="minorEastAsia" w:eastAsiaTheme="minorEastAsia"/>
                <w:szCs w:val="21"/>
                <w:highlight w:val="none"/>
              </w:rPr>
              <w:t>%</w:t>
            </w:r>
          </w:p>
        </w:tc>
        <w:tc>
          <w:tcPr>
            <w:tcW w:w="438" w:type="pct"/>
            <w:tcBorders>
              <w:top w:val="single" w:color="auto" w:sz="4" w:space="0"/>
              <w:left w:val="single" w:color="auto" w:sz="4" w:space="0"/>
              <w:bottom w:val="single" w:color="auto" w:sz="4" w:space="0"/>
              <w:right w:val="single" w:color="auto" w:sz="4" w:space="0"/>
            </w:tcBorders>
            <w:vAlign w:val="center"/>
          </w:tcPr>
          <w:p w14:paraId="11D439A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83" w:type="pct"/>
            <w:tcBorders>
              <w:top w:val="single" w:color="auto" w:sz="4" w:space="0"/>
              <w:left w:val="single" w:color="auto" w:sz="4" w:space="0"/>
              <w:bottom w:val="single" w:color="auto" w:sz="4" w:space="0"/>
              <w:right w:val="single" w:color="auto" w:sz="4" w:space="0"/>
            </w:tcBorders>
            <w:vAlign w:val="center"/>
          </w:tcPr>
          <w:p w14:paraId="770E8DB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85" w:type="pct"/>
            <w:tcBorders>
              <w:top w:val="single" w:color="auto" w:sz="4" w:space="0"/>
              <w:left w:val="single" w:color="auto" w:sz="4" w:space="0"/>
              <w:bottom w:val="single" w:color="auto" w:sz="4" w:space="0"/>
              <w:right w:val="single" w:color="auto" w:sz="4" w:space="0"/>
            </w:tcBorders>
            <w:vAlign w:val="center"/>
          </w:tcPr>
          <w:p w14:paraId="77FD7FF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406" w:type="pct"/>
            <w:tcBorders>
              <w:top w:val="single" w:color="auto" w:sz="4" w:space="0"/>
              <w:left w:val="single" w:color="auto" w:sz="4" w:space="0"/>
              <w:bottom w:val="single" w:color="auto" w:sz="4" w:space="0"/>
              <w:right w:val="single" w:color="auto" w:sz="4" w:space="0"/>
            </w:tcBorders>
            <w:vAlign w:val="center"/>
          </w:tcPr>
          <w:p w14:paraId="3D4AB8F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14:paraId="16CDCC8A">
      <w:pPr>
        <w:spacing w:line="360" w:lineRule="auto"/>
        <w:ind w:firstLine="482" w:firstLineChars="200"/>
        <w:rPr>
          <w:rFonts w:hint="eastAsia" w:asciiTheme="minorEastAsia" w:hAnsiTheme="minorEastAsia" w:eastAsiaTheme="minorEastAsia"/>
          <w:b/>
          <w:sz w:val="24"/>
        </w:rPr>
      </w:pPr>
    </w:p>
    <w:p w14:paraId="68EC1661">
      <w:pPr>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二、控股股东股份质押情况</w:t>
      </w:r>
    </w:p>
    <w:p w14:paraId="0D1E457D">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rPr>
        <w:t>1、控股股东未来半年内到期的质押股份数量为</w:t>
      </w:r>
      <w:r>
        <w:rPr>
          <w:rFonts w:hint="eastAsia" w:asciiTheme="minorEastAsia" w:hAnsiTheme="minorEastAsia" w:eastAsiaTheme="minorEastAsia"/>
          <w:sz w:val="24"/>
          <w:highlight w:val="none"/>
        </w:rPr>
        <w:t>19</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250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w:t>
      </w:r>
      <w:r>
        <w:rPr>
          <w:rFonts w:hint="eastAsia" w:asciiTheme="minorEastAsia" w:hAnsiTheme="minorEastAsia" w:eastAsiaTheme="minorEastAsia"/>
          <w:sz w:val="24"/>
        </w:rPr>
        <w:t>，占其所持股份比例</w:t>
      </w:r>
      <w:r>
        <w:rPr>
          <w:rFonts w:hint="eastAsia" w:asciiTheme="minorEastAsia" w:hAnsiTheme="minorEastAsia" w:eastAsiaTheme="minorEastAsia"/>
          <w:sz w:val="24"/>
          <w:highlight w:val="none"/>
        </w:rPr>
        <w:t>15.68%，占公司总股本比例为2.7</w:t>
      </w: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%，对应融资余额为12</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000万元；</w:t>
      </w:r>
    </w:p>
    <w:p w14:paraId="05670391">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控股股东未来一年内到期的质押股份数量为31</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550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000股，占其所持股份比例25.69%，占公司总股本比例为4.43%，对应融资余额为17</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000万元。</w:t>
      </w:r>
    </w:p>
    <w:p w14:paraId="63CFA0E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控股股东具备相应的资金偿还能力，还款资金来源包括经营性现金流、投资收益等。</w:t>
      </w:r>
    </w:p>
    <w:p w14:paraId="572D21D5">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2、控股股东不存在通过非经营性资金占用、违规担保、关联交易等侵害上市公司利益的情况。</w:t>
      </w:r>
    </w:p>
    <w:p w14:paraId="2834F26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3、控股股东质押事项对上市公司的影响</w:t>
      </w:r>
    </w:p>
    <w:p w14:paraId="44BDC4D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（1）本次质押事项不会对公司生产经营、主营业务、融资授信及融资成本、持续经营能力产生影响。</w:t>
      </w:r>
    </w:p>
    <w:p w14:paraId="5026FED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事项不会对公司治理造成影响，公司的董事会成员不会因此产生变动，控股股东与公司在产权、业务、资产、人员等方面相互独立，不会导致公司实际控制权的变更。公司的股权结构不会因此发生变化，不会对公司日常管理产生影响。</w:t>
      </w:r>
    </w:p>
    <w:p w14:paraId="69748AF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（3）公司控股股东不存在业绩补偿义务。</w:t>
      </w:r>
    </w:p>
    <w:p w14:paraId="078340B0">
      <w:pPr>
        <w:spacing w:line="360" w:lineRule="auto"/>
        <w:ind w:firstLine="480" w:firstLineChars="200"/>
        <w:rPr>
          <w:rFonts w:hint="eastAsia" w:asciiTheme="minorEastAsia" w:hAnsiTheme="minorEastAsia" w:eastAsiaTheme="minorEastAsia"/>
          <w:sz w:val="24"/>
        </w:rPr>
      </w:pPr>
    </w:p>
    <w:p w14:paraId="320A0C56">
      <w:pPr>
        <w:numPr>
          <w:ilvl w:val="0"/>
          <w:numId w:val="2"/>
        </w:numPr>
        <w:spacing w:line="360" w:lineRule="auto"/>
        <w:ind w:firstLine="482"/>
        <w:rPr>
          <w:rFonts w:hint="eastAsia" w:asciiTheme="minorEastAsia" w:hAnsiTheme="minorEastAsia" w:eastAsiaTheme="minorEastAsia"/>
          <w:b/>
          <w:sz w:val="24"/>
        </w:rPr>
      </w:pPr>
      <w:r>
        <w:rPr>
          <w:rFonts w:hint="eastAsia" w:asciiTheme="minorEastAsia" w:hAnsiTheme="minorEastAsia" w:eastAsiaTheme="minorEastAsia"/>
          <w:b/>
          <w:sz w:val="24"/>
        </w:rPr>
        <w:t>控股股东资信情况及其他情况说明</w:t>
      </w:r>
    </w:p>
    <w:p w14:paraId="1AFD7B3F">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1、控股股东本次质押所融资金的具体用途及预计还款资金来源。</w:t>
      </w:r>
    </w:p>
    <w:p w14:paraId="168120BA">
      <w:pPr>
        <w:spacing w:line="360" w:lineRule="auto"/>
        <w:ind w:firstLine="480" w:firstLineChars="200"/>
        <w:rPr>
          <w:rFonts w:hint="eastAsia" w:asciiTheme="minorEastAsia" w:hAnsiTheme="minorEastAsia" w:eastAsiaTheme="minorEastAsia"/>
          <w:sz w:val="24"/>
        </w:rPr>
      </w:pPr>
      <w:r>
        <w:rPr>
          <w:rFonts w:hint="eastAsia" w:ascii="宋体" w:hAnsi="宋体"/>
          <w:sz w:val="24"/>
        </w:rPr>
        <w:t>苏州吴中投资控股有限公司</w:t>
      </w:r>
      <w:r>
        <w:rPr>
          <w:rFonts w:hint="eastAsia" w:asciiTheme="minorEastAsia" w:hAnsiTheme="minorEastAsia" w:eastAsiaTheme="minorEastAsia"/>
          <w:sz w:val="24"/>
        </w:rPr>
        <w:t>本次股份质押所融资金主要用于日常生产经营。其资信状况良好，具备相应的资金偿还能力，未来还款资金来源主要包括生产经营业务收益及其他收益等，质押风险在可控范围之内。</w:t>
      </w:r>
    </w:p>
    <w:p w14:paraId="7795B8A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2、控股股东资信情况</w:t>
      </w:r>
    </w:p>
    <w:p w14:paraId="2B61A4C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（1）控股股东基本情况</w:t>
      </w:r>
    </w:p>
    <w:tbl>
      <w:tblPr>
        <w:tblStyle w:val="7"/>
        <w:tblW w:w="87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7275"/>
      </w:tblGrid>
      <w:tr w14:paraId="4CA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3EBDD8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公司名称</w:t>
            </w:r>
          </w:p>
        </w:tc>
        <w:tc>
          <w:tcPr>
            <w:tcW w:w="7275" w:type="dxa"/>
          </w:tcPr>
          <w:p w14:paraId="243E1B3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苏州吴中投资控股有限公司</w:t>
            </w:r>
          </w:p>
        </w:tc>
      </w:tr>
      <w:tr w14:paraId="0E22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2C17401">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公司性质</w:t>
            </w:r>
          </w:p>
        </w:tc>
        <w:tc>
          <w:tcPr>
            <w:tcW w:w="7275" w:type="dxa"/>
          </w:tcPr>
          <w:p w14:paraId="3FD36B1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有限责任公司</w:t>
            </w:r>
          </w:p>
        </w:tc>
      </w:tr>
      <w:tr w14:paraId="77AA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40B64C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法定代表人</w:t>
            </w:r>
          </w:p>
        </w:tc>
        <w:tc>
          <w:tcPr>
            <w:tcW w:w="7275" w:type="dxa"/>
          </w:tcPr>
          <w:p w14:paraId="4070789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钱群英</w:t>
            </w:r>
          </w:p>
        </w:tc>
      </w:tr>
      <w:tr w14:paraId="223C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1DBF814">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注册资本</w:t>
            </w:r>
          </w:p>
        </w:tc>
        <w:tc>
          <w:tcPr>
            <w:tcW w:w="7275" w:type="dxa"/>
          </w:tcPr>
          <w:p w14:paraId="2E5360E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300</w:t>
            </w:r>
            <w:r>
              <w:rPr>
                <w:rFonts w:hint="eastAsia" w:asciiTheme="minorEastAsia" w:hAnsiTheme="minorEastAsia" w:eastAsiaTheme="minorEastAsia"/>
                <w:sz w:val="24"/>
              </w:rPr>
              <w:t>万元</w:t>
            </w:r>
          </w:p>
        </w:tc>
      </w:tr>
      <w:tr w14:paraId="7DB0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53F2FC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注册时间</w:t>
            </w:r>
          </w:p>
        </w:tc>
        <w:tc>
          <w:tcPr>
            <w:tcW w:w="7275" w:type="dxa"/>
          </w:tcPr>
          <w:p w14:paraId="183DDEA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009</w:t>
            </w:r>
            <w:r>
              <w:rPr>
                <w:rFonts w:hint="eastAsia" w:asciiTheme="minorEastAsia" w:hAnsiTheme="minorEastAsia" w:eastAsiaTheme="minorEastAsia"/>
                <w:sz w:val="24"/>
              </w:rPr>
              <w:t>年1</w:t>
            </w:r>
            <w:r>
              <w:rPr>
                <w:rFonts w:asciiTheme="minorEastAsia" w:hAnsiTheme="minorEastAsia" w:eastAsiaTheme="minorEastAsia"/>
                <w:sz w:val="24"/>
              </w:rPr>
              <w:t>2</w:t>
            </w:r>
            <w:r>
              <w:rPr>
                <w:rFonts w:hint="eastAsia" w:asciiTheme="minorEastAsia" w:hAnsiTheme="minorEastAsia" w:eastAsiaTheme="minorEastAsia"/>
                <w:sz w:val="24"/>
              </w:rPr>
              <w:t>月1</w:t>
            </w:r>
            <w:r>
              <w:rPr>
                <w:rFonts w:asciiTheme="minorEastAsia" w:hAnsiTheme="minorEastAsia" w:eastAsiaTheme="minorEastAsia"/>
                <w:sz w:val="24"/>
              </w:rPr>
              <w:t>7</w:t>
            </w:r>
            <w:r>
              <w:rPr>
                <w:rFonts w:hint="eastAsia" w:asciiTheme="minorEastAsia" w:hAnsiTheme="minorEastAsia" w:eastAsiaTheme="minorEastAsia"/>
                <w:sz w:val="24"/>
              </w:rPr>
              <w:t>日</w:t>
            </w:r>
          </w:p>
        </w:tc>
      </w:tr>
      <w:tr w14:paraId="209D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C41EB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注册地址</w:t>
            </w:r>
          </w:p>
        </w:tc>
        <w:tc>
          <w:tcPr>
            <w:tcW w:w="7275" w:type="dxa"/>
          </w:tcPr>
          <w:p w14:paraId="63AA01F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苏州吴中经济开发区郭巷街道东方大道9</w:t>
            </w:r>
            <w:r>
              <w:rPr>
                <w:rFonts w:asciiTheme="minorEastAsia" w:hAnsiTheme="minorEastAsia" w:eastAsiaTheme="minorEastAsia"/>
                <w:sz w:val="24"/>
              </w:rPr>
              <w:t>88</w:t>
            </w:r>
            <w:r>
              <w:rPr>
                <w:rFonts w:hint="eastAsia" w:asciiTheme="minorEastAsia" w:hAnsiTheme="minorEastAsia" w:eastAsiaTheme="minorEastAsia"/>
                <w:sz w:val="24"/>
              </w:rPr>
              <w:t>号1幢</w:t>
            </w:r>
          </w:p>
        </w:tc>
      </w:tr>
      <w:tr w14:paraId="61A1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0925FCF">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主营业务</w:t>
            </w:r>
          </w:p>
        </w:tc>
        <w:tc>
          <w:tcPr>
            <w:tcW w:w="7275" w:type="dxa"/>
          </w:tcPr>
          <w:p w14:paraId="3221879C">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一般项目:股权投资；日用百货销售；服装服饰零售；针纺织品及原料销售；珠宝首饰零售；珠宝首饰批发；电子产品销售；建筑材料销售；五金产品零售；机械设备销售；金属制品销售；塑料制品销售；劳动保护用品销售；办公用品销售；玩具销售；工艺美术品及收藏品零售 (象牙及其制品除外)；皮革制品销售；钟表销售；眼镜销售 (不含隐形眼镜)；照相机及器材销售；体育用品及器材零售；家用电器销售:通讯设备销售，照明器具销售，日用木制品销售，家具销售；宠物食品及用品零售；食用农产品零售；厨具卫具及日用杂品零售；计算机软硬件及辅助设备零售；进出口代理；技术进出口(除依法须经批准的项目外，凭营业执照依法自主开展经营活动)</w:t>
            </w:r>
          </w:p>
        </w:tc>
      </w:tr>
    </w:tbl>
    <w:p w14:paraId="0B412D1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（2）控股股东最近一年及一期的主要财务数据情况</w:t>
      </w:r>
    </w:p>
    <w:p w14:paraId="29819479">
      <w:pPr>
        <w:spacing w:line="360" w:lineRule="auto"/>
        <w:jc w:val="right"/>
        <w:rPr>
          <w:rFonts w:hint="eastAsia" w:asciiTheme="minorEastAsia" w:hAnsiTheme="minorEastAsia" w:eastAsiaTheme="minorEastAsia"/>
          <w:sz w:val="24"/>
        </w:rPr>
      </w:pPr>
      <w:r>
        <w:rPr>
          <w:rFonts w:ascii="宋体" w:hAnsi="宋体" w:cs="宋体"/>
          <w:sz w:val="24"/>
        </w:rPr>
        <w:t>单位：万元</w:t>
      </w:r>
    </w:p>
    <w:tbl>
      <w:tblPr>
        <w:tblStyle w:val="7"/>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0"/>
        <w:gridCol w:w="2428"/>
        <w:gridCol w:w="2841"/>
      </w:tblGrid>
      <w:tr w14:paraId="4780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7519678A">
            <w:pPr>
              <w:spacing w:line="360" w:lineRule="auto"/>
              <w:jc w:val="center"/>
              <w:rPr>
                <w:rFonts w:hint="eastAsia" w:asciiTheme="minorEastAsia" w:hAnsiTheme="minorEastAsia" w:eastAsiaTheme="minorEastAsia"/>
                <w:b/>
                <w:bCs/>
                <w:sz w:val="24"/>
              </w:rPr>
            </w:pPr>
            <w:r>
              <w:rPr>
                <w:rFonts w:ascii="宋体" w:hAnsi="宋体" w:cs="宋体"/>
                <w:b/>
                <w:bCs/>
                <w:sz w:val="24"/>
              </w:rPr>
              <w:t>项目</w:t>
            </w:r>
          </w:p>
        </w:tc>
        <w:tc>
          <w:tcPr>
            <w:tcW w:w="2428" w:type="dxa"/>
          </w:tcPr>
          <w:p w14:paraId="0298F85C">
            <w:pPr>
              <w:spacing w:line="360" w:lineRule="auto"/>
              <w:jc w:val="center"/>
              <w:rPr>
                <w:rFonts w:hint="eastAsia" w:asciiTheme="minorEastAsia" w:hAnsiTheme="minorEastAsia" w:eastAsiaTheme="minorEastAsia"/>
                <w:b/>
                <w:bCs/>
                <w:sz w:val="24"/>
              </w:rPr>
            </w:pPr>
            <w:r>
              <w:rPr>
                <w:rFonts w:hint="eastAsia" w:asciiTheme="minorEastAsia" w:hAnsiTheme="minorEastAsia" w:eastAsiaTheme="minorEastAsia"/>
                <w:b/>
                <w:bCs/>
                <w:sz w:val="24"/>
              </w:rPr>
              <w:t>2</w:t>
            </w:r>
            <w:r>
              <w:rPr>
                <w:rFonts w:asciiTheme="minorEastAsia" w:hAnsiTheme="minorEastAsia" w:eastAsiaTheme="minorEastAsia"/>
                <w:b/>
                <w:bCs/>
                <w:sz w:val="24"/>
              </w:rPr>
              <w:t>02</w:t>
            </w:r>
            <w:r>
              <w:rPr>
                <w:rFonts w:hint="eastAsia" w:asciiTheme="minorEastAsia" w:hAnsiTheme="minorEastAsia" w:eastAsiaTheme="minorEastAsia"/>
                <w:b/>
                <w:bCs/>
                <w:sz w:val="24"/>
              </w:rPr>
              <w:t>3年1</w:t>
            </w:r>
            <w:r>
              <w:rPr>
                <w:rFonts w:asciiTheme="minorEastAsia" w:hAnsiTheme="minorEastAsia" w:eastAsiaTheme="minorEastAsia"/>
                <w:b/>
                <w:bCs/>
                <w:sz w:val="24"/>
              </w:rPr>
              <w:t>2</w:t>
            </w:r>
            <w:r>
              <w:rPr>
                <w:rFonts w:hint="eastAsia" w:asciiTheme="minorEastAsia" w:hAnsiTheme="minorEastAsia" w:eastAsiaTheme="minorEastAsia"/>
                <w:b/>
                <w:bCs/>
                <w:sz w:val="24"/>
              </w:rPr>
              <w:t>月3</w:t>
            </w:r>
            <w:r>
              <w:rPr>
                <w:rFonts w:asciiTheme="minorEastAsia" w:hAnsiTheme="minorEastAsia" w:eastAsiaTheme="minorEastAsia"/>
                <w:b/>
                <w:bCs/>
                <w:sz w:val="24"/>
              </w:rPr>
              <w:t>1</w:t>
            </w:r>
            <w:r>
              <w:rPr>
                <w:rFonts w:hint="eastAsia" w:asciiTheme="minorEastAsia" w:hAnsiTheme="minorEastAsia" w:eastAsiaTheme="minorEastAsia"/>
                <w:b/>
                <w:bCs/>
                <w:sz w:val="24"/>
              </w:rPr>
              <w:t>日</w:t>
            </w:r>
          </w:p>
        </w:tc>
        <w:tc>
          <w:tcPr>
            <w:tcW w:w="2841" w:type="dxa"/>
          </w:tcPr>
          <w:p w14:paraId="57E1B2C8">
            <w:pPr>
              <w:spacing w:line="360" w:lineRule="auto"/>
              <w:jc w:val="center"/>
              <w:rPr>
                <w:rFonts w:hint="eastAsia" w:asciiTheme="minorEastAsia" w:hAnsiTheme="minorEastAsia" w:eastAsiaTheme="minorEastAsia"/>
                <w:b/>
                <w:bCs/>
                <w:sz w:val="24"/>
              </w:rPr>
            </w:pPr>
            <w:r>
              <w:rPr>
                <w:rFonts w:hint="eastAsia" w:asciiTheme="minorEastAsia" w:hAnsiTheme="minorEastAsia" w:eastAsiaTheme="minorEastAsia"/>
                <w:b/>
                <w:bCs/>
                <w:sz w:val="24"/>
              </w:rPr>
              <w:t>2</w:t>
            </w:r>
            <w:r>
              <w:rPr>
                <w:rFonts w:asciiTheme="minorEastAsia" w:hAnsiTheme="minorEastAsia" w:eastAsiaTheme="minorEastAsia"/>
                <w:b/>
                <w:bCs/>
                <w:sz w:val="24"/>
              </w:rPr>
              <w:t>02</w:t>
            </w:r>
            <w:r>
              <w:rPr>
                <w:rFonts w:hint="eastAsia" w:asciiTheme="minorEastAsia" w:hAnsiTheme="minorEastAsia" w:eastAsiaTheme="minorEastAsia"/>
                <w:b/>
                <w:bCs/>
                <w:sz w:val="24"/>
              </w:rPr>
              <w:t>4年6月3</w:t>
            </w:r>
            <w:r>
              <w:rPr>
                <w:rFonts w:asciiTheme="minorEastAsia" w:hAnsiTheme="minorEastAsia" w:eastAsiaTheme="minorEastAsia"/>
                <w:b/>
                <w:bCs/>
                <w:sz w:val="24"/>
              </w:rPr>
              <w:t>0</w:t>
            </w:r>
            <w:r>
              <w:rPr>
                <w:rFonts w:hint="eastAsia" w:asciiTheme="minorEastAsia" w:hAnsiTheme="minorEastAsia" w:eastAsiaTheme="minorEastAsia"/>
                <w:b/>
                <w:bCs/>
                <w:sz w:val="24"/>
              </w:rPr>
              <w:t>日</w:t>
            </w:r>
          </w:p>
        </w:tc>
      </w:tr>
      <w:tr w14:paraId="58DC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11C4CF5D">
            <w:pPr>
              <w:spacing w:line="360" w:lineRule="auto"/>
              <w:jc w:val="center"/>
              <w:rPr>
                <w:rFonts w:hint="eastAsia" w:asciiTheme="minorEastAsia" w:hAnsiTheme="minorEastAsia" w:eastAsiaTheme="minorEastAsia"/>
                <w:sz w:val="24"/>
              </w:rPr>
            </w:pPr>
            <w:r>
              <w:rPr>
                <w:rFonts w:ascii="宋体" w:hAnsi="宋体" w:cs="宋体"/>
                <w:sz w:val="24"/>
              </w:rPr>
              <w:t>资产总额</w:t>
            </w:r>
          </w:p>
        </w:tc>
        <w:tc>
          <w:tcPr>
            <w:tcW w:w="2428" w:type="dxa"/>
            <w:vAlign w:val="center"/>
          </w:tcPr>
          <w:p w14:paraId="4D2CFB12">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538</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548.65</w:t>
            </w:r>
          </w:p>
        </w:tc>
        <w:tc>
          <w:tcPr>
            <w:tcW w:w="2841" w:type="dxa"/>
            <w:vAlign w:val="center"/>
          </w:tcPr>
          <w:p w14:paraId="6DEC71D9">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554</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926.33</w:t>
            </w:r>
          </w:p>
        </w:tc>
      </w:tr>
      <w:tr w14:paraId="613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A36C4AF">
            <w:pPr>
              <w:spacing w:line="360" w:lineRule="auto"/>
              <w:jc w:val="center"/>
              <w:rPr>
                <w:rFonts w:hint="eastAsia" w:asciiTheme="minorEastAsia" w:hAnsiTheme="minorEastAsia" w:eastAsiaTheme="minorEastAsia"/>
                <w:sz w:val="24"/>
              </w:rPr>
            </w:pPr>
            <w:r>
              <w:rPr>
                <w:rFonts w:ascii="宋体" w:hAnsi="宋体" w:cs="宋体"/>
                <w:sz w:val="24"/>
              </w:rPr>
              <w:t>负债总额</w:t>
            </w:r>
          </w:p>
        </w:tc>
        <w:tc>
          <w:tcPr>
            <w:tcW w:w="2428" w:type="dxa"/>
            <w:vAlign w:val="center"/>
          </w:tcPr>
          <w:p w14:paraId="008931EC">
            <w:pPr>
              <w:spacing w:line="360" w:lineRule="auto"/>
              <w:jc w:val="right"/>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355</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683.5</w:t>
            </w:r>
            <w:r>
              <w:rPr>
                <w:rFonts w:hint="eastAsia" w:asciiTheme="minorEastAsia" w:hAnsiTheme="minorEastAsia" w:eastAsiaTheme="minorEastAsia"/>
                <w:sz w:val="24"/>
                <w:lang w:val="en-US" w:eastAsia="zh-CN"/>
              </w:rPr>
              <w:t>9</w:t>
            </w:r>
          </w:p>
        </w:tc>
        <w:tc>
          <w:tcPr>
            <w:tcW w:w="2841" w:type="dxa"/>
            <w:vAlign w:val="center"/>
          </w:tcPr>
          <w:p w14:paraId="09C57DAA">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365</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218.50</w:t>
            </w:r>
          </w:p>
        </w:tc>
      </w:tr>
      <w:tr w14:paraId="3351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3C9FC54">
            <w:pPr>
              <w:spacing w:line="360" w:lineRule="auto"/>
              <w:jc w:val="center"/>
              <w:rPr>
                <w:rFonts w:hint="eastAsia" w:asciiTheme="minorEastAsia" w:hAnsiTheme="minorEastAsia" w:eastAsiaTheme="minorEastAsia"/>
                <w:sz w:val="24"/>
              </w:rPr>
            </w:pPr>
            <w:r>
              <w:rPr>
                <w:rFonts w:ascii="宋体" w:hAnsi="宋体" w:cs="宋体"/>
                <w:sz w:val="24"/>
              </w:rPr>
              <w:t>银行贷款总额</w:t>
            </w:r>
          </w:p>
        </w:tc>
        <w:tc>
          <w:tcPr>
            <w:tcW w:w="2428" w:type="dxa"/>
            <w:vAlign w:val="center"/>
          </w:tcPr>
          <w:p w14:paraId="225D892F">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199</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527.77</w:t>
            </w:r>
          </w:p>
        </w:tc>
        <w:tc>
          <w:tcPr>
            <w:tcW w:w="2841" w:type="dxa"/>
            <w:vAlign w:val="center"/>
          </w:tcPr>
          <w:p w14:paraId="71C3FDE3">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201</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584.21</w:t>
            </w:r>
          </w:p>
        </w:tc>
      </w:tr>
      <w:tr w14:paraId="47E1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06E3E08C">
            <w:pPr>
              <w:spacing w:line="360" w:lineRule="auto"/>
              <w:jc w:val="center"/>
              <w:rPr>
                <w:rFonts w:hint="eastAsia" w:asciiTheme="minorEastAsia" w:hAnsiTheme="minorEastAsia" w:eastAsiaTheme="minorEastAsia"/>
                <w:sz w:val="24"/>
              </w:rPr>
            </w:pPr>
            <w:r>
              <w:rPr>
                <w:rFonts w:ascii="宋体" w:hAnsi="宋体" w:cs="宋体"/>
                <w:sz w:val="24"/>
              </w:rPr>
              <w:t>流动负债总额</w:t>
            </w:r>
          </w:p>
        </w:tc>
        <w:tc>
          <w:tcPr>
            <w:tcW w:w="2428" w:type="dxa"/>
            <w:shd w:val="clear" w:color="auto" w:fill="auto"/>
            <w:vAlign w:val="center"/>
          </w:tcPr>
          <w:p w14:paraId="4EC41EF1">
            <w:pPr>
              <w:widowControl/>
              <w:jc w:val="right"/>
              <w:textAlignment w:val="center"/>
              <w:rPr>
                <w:rFonts w:hint="eastAsia" w:ascii="宋体" w:hAnsi="宋体" w:eastAsia="宋体" w:cs="宋体"/>
                <w:color w:val="000000"/>
                <w:sz w:val="24"/>
                <w:lang w:eastAsia="zh-CN"/>
              </w:rPr>
            </w:pPr>
            <w:r>
              <w:rPr>
                <w:rFonts w:hint="eastAsia" w:ascii="宋体" w:hAnsi="宋体" w:cs="宋体"/>
                <w:color w:val="000000"/>
                <w:kern w:val="0"/>
                <w:sz w:val="24"/>
                <w:lang w:bidi="ar"/>
              </w:rPr>
              <w:t>335</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588.4</w:t>
            </w:r>
            <w:r>
              <w:rPr>
                <w:rFonts w:hint="eastAsia" w:ascii="宋体" w:hAnsi="宋体" w:cs="宋体"/>
                <w:color w:val="000000"/>
                <w:kern w:val="0"/>
                <w:sz w:val="24"/>
                <w:lang w:val="en-US" w:eastAsia="zh-CN" w:bidi="ar"/>
              </w:rPr>
              <w:t>1</w:t>
            </w:r>
          </w:p>
        </w:tc>
        <w:tc>
          <w:tcPr>
            <w:tcW w:w="2841" w:type="dxa"/>
            <w:shd w:val="clear" w:color="auto" w:fill="auto"/>
            <w:vAlign w:val="center"/>
          </w:tcPr>
          <w:p w14:paraId="77F236DB">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336</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118.35</w:t>
            </w:r>
          </w:p>
        </w:tc>
      </w:tr>
      <w:tr w14:paraId="0354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3141A346">
            <w:pPr>
              <w:spacing w:line="360" w:lineRule="auto"/>
              <w:jc w:val="center"/>
              <w:rPr>
                <w:rFonts w:hint="eastAsia" w:asciiTheme="minorEastAsia" w:hAnsiTheme="minorEastAsia" w:eastAsiaTheme="minorEastAsia"/>
                <w:sz w:val="24"/>
              </w:rPr>
            </w:pPr>
            <w:r>
              <w:rPr>
                <w:rFonts w:ascii="宋体" w:hAnsi="宋体" w:cs="宋体"/>
                <w:sz w:val="24"/>
              </w:rPr>
              <w:t>资产净额</w:t>
            </w:r>
          </w:p>
        </w:tc>
        <w:tc>
          <w:tcPr>
            <w:tcW w:w="2428" w:type="dxa"/>
            <w:shd w:val="clear" w:color="auto" w:fill="auto"/>
            <w:vAlign w:val="center"/>
          </w:tcPr>
          <w:p w14:paraId="5260C45D">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182</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865.06</w:t>
            </w:r>
          </w:p>
        </w:tc>
        <w:tc>
          <w:tcPr>
            <w:tcW w:w="2841" w:type="dxa"/>
            <w:shd w:val="clear" w:color="auto" w:fill="auto"/>
            <w:vAlign w:val="center"/>
          </w:tcPr>
          <w:p w14:paraId="6898FDBE">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189</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707.83</w:t>
            </w:r>
          </w:p>
        </w:tc>
      </w:tr>
      <w:tr w14:paraId="1FCC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67A118E9">
            <w:pPr>
              <w:spacing w:line="360" w:lineRule="auto"/>
              <w:jc w:val="center"/>
              <w:rPr>
                <w:rFonts w:hint="eastAsia" w:asciiTheme="minorEastAsia" w:hAnsiTheme="minorEastAsia" w:eastAsiaTheme="minorEastAsia"/>
                <w:sz w:val="24"/>
              </w:rPr>
            </w:pPr>
            <w:r>
              <w:rPr>
                <w:rFonts w:ascii="宋体" w:hAnsi="宋体" w:cs="宋体"/>
                <w:sz w:val="24"/>
              </w:rPr>
              <w:t>营业收入</w:t>
            </w:r>
          </w:p>
        </w:tc>
        <w:tc>
          <w:tcPr>
            <w:tcW w:w="2428" w:type="dxa"/>
            <w:shd w:val="clear" w:color="auto" w:fill="auto"/>
            <w:vAlign w:val="center"/>
          </w:tcPr>
          <w:p w14:paraId="0018EA87">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282</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958.91</w:t>
            </w:r>
          </w:p>
        </w:tc>
        <w:tc>
          <w:tcPr>
            <w:tcW w:w="2841" w:type="dxa"/>
            <w:shd w:val="clear" w:color="auto" w:fill="auto"/>
            <w:vAlign w:val="center"/>
          </w:tcPr>
          <w:p w14:paraId="40EC7C25">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166</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671.90</w:t>
            </w:r>
          </w:p>
        </w:tc>
      </w:tr>
      <w:tr w14:paraId="67FE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5EF84F6A">
            <w:pPr>
              <w:spacing w:line="360" w:lineRule="auto"/>
              <w:jc w:val="center"/>
              <w:rPr>
                <w:rFonts w:hint="eastAsia" w:asciiTheme="minorEastAsia" w:hAnsiTheme="minorEastAsia" w:eastAsiaTheme="minorEastAsia"/>
                <w:sz w:val="24"/>
              </w:rPr>
            </w:pPr>
            <w:r>
              <w:rPr>
                <w:rFonts w:hint="eastAsia" w:ascii="宋体" w:hAnsi="宋体" w:cs="宋体"/>
                <w:sz w:val="24"/>
              </w:rPr>
              <w:t>净利润</w:t>
            </w:r>
          </w:p>
        </w:tc>
        <w:tc>
          <w:tcPr>
            <w:tcW w:w="2428" w:type="dxa"/>
            <w:shd w:val="clear" w:color="auto" w:fill="auto"/>
            <w:vAlign w:val="center"/>
          </w:tcPr>
          <w:p w14:paraId="6E560BCC">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-9</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007.82</w:t>
            </w:r>
          </w:p>
        </w:tc>
        <w:tc>
          <w:tcPr>
            <w:tcW w:w="2841" w:type="dxa"/>
            <w:shd w:val="clear" w:color="auto" w:fill="auto"/>
            <w:vAlign w:val="center"/>
          </w:tcPr>
          <w:p w14:paraId="78C4AA71">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1</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925.25</w:t>
            </w:r>
          </w:p>
        </w:tc>
      </w:tr>
      <w:tr w14:paraId="2003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08ABF0FB">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经营活动产生的现金流量净额</w:t>
            </w:r>
          </w:p>
        </w:tc>
        <w:tc>
          <w:tcPr>
            <w:tcW w:w="2428" w:type="dxa"/>
            <w:shd w:val="clear" w:color="auto" w:fill="auto"/>
            <w:vAlign w:val="center"/>
          </w:tcPr>
          <w:p w14:paraId="504F68B1">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shd w:val="clear"/>
                <w:lang w:bidi="ar"/>
              </w:rPr>
              <w:t>-15</w:t>
            </w:r>
            <w:r>
              <w:rPr>
                <w:rFonts w:hint="eastAsia" w:ascii="宋体" w:hAnsi="宋体" w:cs="宋体"/>
                <w:color w:val="000000"/>
                <w:kern w:val="0"/>
                <w:sz w:val="24"/>
                <w:highlight w:val="none"/>
                <w:shd w:val="clear"/>
                <w:lang w:val="en-US" w:eastAsia="zh-CN" w:bidi="ar"/>
              </w:rPr>
              <w:t>,</w:t>
            </w:r>
            <w:r>
              <w:rPr>
                <w:rFonts w:hint="eastAsia" w:ascii="宋体" w:hAnsi="宋体" w:cs="宋体"/>
                <w:color w:val="000000"/>
                <w:kern w:val="0"/>
                <w:sz w:val="24"/>
                <w:highlight w:val="none"/>
                <w:shd w:val="clear"/>
                <w:lang w:bidi="ar"/>
              </w:rPr>
              <w:t>765.27</w:t>
            </w:r>
          </w:p>
        </w:tc>
        <w:tc>
          <w:tcPr>
            <w:tcW w:w="2841" w:type="dxa"/>
            <w:shd w:val="clear" w:color="auto" w:fill="auto"/>
            <w:vAlign w:val="center"/>
          </w:tcPr>
          <w:p w14:paraId="0D65AA13">
            <w:pPr>
              <w:widowControl/>
              <w:jc w:val="right"/>
              <w:textAlignment w:val="bottom"/>
              <w:rPr>
                <w:rFonts w:hint="eastAsia" w:asciiTheme="minorEastAsia" w:hAnsiTheme="minorEastAsia" w:eastAsiaTheme="minorEastAsia"/>
                <w:sz w:val="24"/>
                <w:highlight w:val="none"/>
              </w:rPr>
            </w:pPr>
            <w:r>
              <w:rPr>
                <w:rFonts w:hint="eastAsia" w:ascii="宋体" w:hAnsi="宋体" w:cs="宋体"/>
                <w:color w:val="000000"/>
                <w:kern w:val="0"/>
                <w:sz w:val="24"/>
                <w:highlight w:val="none"/>
                <w:lang w:bidi="ar"/>
              </w:rPr>
              <w:t>16</w:t>
            </w:r>
            <w:r>
              <w:rPr>
                <w:rFonts w:hint="eastAsia" w:ascii="宋体" w:hAnsi="宋体" w:cs="宋体"/>
                <w:color w:val="000000"/>
                <w:kern w:val="0"/>
                <w:sz w:val="24"/>
                <w:highlight w:val="none"/>
                <w:lang w:val="en-US" w:eastAsia="zh-CN" w:bidi="ar"/>
              </w:rPr>
              <w:t>,</w:t>
            </w:r>
            <w:r>
              <w:rPr>
                <w:rFonts w:hint="eastAsia" w:ascii="宋体" w:hAnsi="宋体" w:cs="宋体"/>
                <w:color w:val="000000"/>
                <w:kern w:val="0"/>
                <w:sz w:val="24"/>
                <w:highlight w:val="none"/>
                <w:lang w:bidi="ar"/>
              </w:rPr>
              <w:t>850.01</w:t>
            </w:r>
          </w:p>
        </w:tc>
      </w:tr>
    </w:tbl>
    <w:p w14:paraId="4F47B00C">
      <w:pPr>
        <w:spacing w:line="360" w:lineRule="auto"/>
        <w:ind w:firstLine="480" w:firstLineChars="200"/>
        <w:rPr>
          <w:rFonts w:hint="eastAsia" w:asciiTheme="minorEastAsia" w:hAnsiTheme="minorEastAsia" w:eastAsiaTheme="minorEastAsia"/>
          <w:sz w:val="24"/>
          <w:highlight w:val="none"/>
        </w:rPr>
      </w:pPr>
    </w:p>
    <w:p w14:paraId="0BD4764E">
      <w:pPr>
        <w:numPr>
          <w:ilvl w:val="0"/>
          <w:numId w:val="3"/>
        </w:numPr>
        <w:spacing w:line="360" w:lineRule="auto"/>
        <w:ind w:firstLine="480" w:firstLineChars="200"/>
        <w:rPr>
          <w:rFonts w:hint="eastAsia" w:ascii="宋体" w:hAnsi="宋体" w:cs="宋体"/>
          <w:sz w:val="24"/>
          <w:highlight w:val="none"/>
        </w:rPr>
      </w:pPr>
      <w:r>
        <w:rPr>
          <w:rFonts w:ascii="宋体" w:hAnsi="宋体" w:cs="宋体"/>
          <w:sz w:val="24"/>
          <w:highlight w:val="none"/>
        </w:rPr>
        <w:t>控股股东偿债能力指标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9"/>
        <w:gridCol w:w="4523"/>
      </w:tblGrid>
      <w:tr w14:paraId="1A5E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9" w:type="dxa"/>
          </w:tcPr>
          <w:p w14:paraId="38F7AB39">
            <w:pPr>
              <w:spacing w:line="360" w:lineRule="auto"/>
              <w:rPr>
                <w:rFonts w:hint="eastAsia" w:ascii="宋体" w:hAnsi="宋体" w:cs="宋体"/>
                <w:sz w:val="24"/>
                <w:highlight w:val="none"/>
              </w:rPr>
            </w:pPr>
            <w:r>
              <w:rPr>
                <w:rFonts w:ascii="宋体" w:hAnsi="宋体" w:cs="宋体"/>
                <w:sz w:val="24"/>
                <w:highlight w:val="none"/>
              </w:rPr>
              <w:t>资产负债率</w:t>
            </w:r>
          </w:p>
        </w:tc>
        <w:tc>
          <w:tcPr>
            <w:tcW w:w="4523" w:type="dxa"/>
          </w:tcPr>
          <w:p w14:paraId="651C4E96">
            <w:pPr>
              <w:spacing w:line="360" w:lineRule="auto"/>
              <w:rPr>
                <w:rFonts w:hint="eastAsia" w:ascii="宋体" w:hAnsi="宋体" w:cs="宋体"/>
                <w:sz w:val="24"/>
                <w:highlight w:val="none"/>
              </w:rPr>
            </w:pPr>
            <w:r>
              <w:rPr>
                <w:rFonts w:hint="eastAsia" w:ascii="宋体" w:hAnsi="宋体" w:cs="宋体"/>
                <w:sz w:val="24"/>
                <w:highlight w:val="none"/>
                <w:lang w:val="en-US" w:eastAsia="zh-CN"/>
              </w:rPr>
              <w:t>65.81</w:t>
            </w:r>
            <w:r>
              <w:rPr>
                <w:rFonts w:hint="eastAsia" w:ascii="宋体" w:hAnsi="宋体" w:cs="宋体"/>
                <w:sz w:val="24"/>
                <w:highlight w:val="none"/>
              </w:rPr>
              <w:t>%</w:t>
            </w:r>
          </w:p>
        </w:tc>
      </w:tr>
      <w:tr w14:paraId="2B7C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97BBC90">
            <w:pPr>
              <w:spacing w:line="360" w:lineRule="auto"/>
              <w:rPr>
                <w:rFonts w:hint="eastAsia" w:ascii="宋体" w:hAnsi="宋体" w:cs="宋体"/>
                <w:sz w:val="24"/>
                <w:highlight w:val="none"/>
              </w:rPr>
            </w:pPr>
            <w:r>
              <w:rPr>
                <w:rFonts w:hint="eastAsia" w:ascii="宋体" w:hAnsi="宋体" w:cs="宋体"/>
                <w:sz w:val="24"/>
                <w:highlight w:val="none"/>
              </w:rPr>
              <w:t>流动比率</w:t>
            </w:r>
          </w:p>
        </w:tc>
        <w:tc>
          <w:tcPr>
            <w:tcW w:w="4523" w:type="dxa"/>
          </w:tcPr>
          <w:p w14:paraId="773C8AA1">
            <w:pPr>
              <w:spacing w:line="360" w:lineRule="auto"/>
              <w:rPr>
                <w:rFonts w:hint="eastAsia" w:ascii="宋体" w:hAnsi="宋体" w:eastAsia="宋体" w:cs="宋体"/>
                <w:sz w:val="24"/>
                <w:highlight w:val="none"/>
                <w:lang w:val="en-US" w:eastAsia="zh-CN"/>
              </w:rPr>
            </w:pPr>
            <w:r>
              <w:rPr>
                <w:rFonts w:hint="eastAsia" w:ascii="宋体" w:hAnsi="宋体" w:cs="宋体"/>
                <w:sz w:val="24"/>
                <w:highlight w:val="none"/>
              </w:rPr>
              <w:t>1.50</w:t>
            </w:r>
          </w:p>
        </w:tc>
      </w:tr>
      <w:tr w14:paraId="7168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CC60E5F">
            <w:pPr>
              <w:spacing w:line="360" w:lineRule="auto"/>
              <w:rPr>
                <w:rFonts w:hint="eastAsia" w:ascii="宋体" w:hAnsi="宋体" w:cs="宋体"/>
                <w:sz w:val="24"/>
                <w:highlight w:val="none"/>
              </w:rPr>
            </w:pPr>
            <w:r>
              <w:rPr>
                <w:rFonts w:hint="eastAsia" w:ascii="宋体" w:hAnsi="宋体" w:cs="宋体"/>
                <w:sz w:val="24"/>
                <w:highlight w:val="none"/>
              </w:rPr>
              <w:t>速动比率</w:t>
            </w:r>
          </w:p>
        </w:tc>
        <w:tc>
          <w:tcPr>
            <w:tcW w:w="4523" w:type="dxa"/>
          </w:tcPr>
          <w:p w14:paraId="405912E6">
            <w:pPr>
              <w:spacing w:line="360" w:lineRule="auto"/>
              <w:rPr>
                <w:rFonts w:hint="eastAsia" w:ascii="宋体" w:hAnsi="宋体" w:eastAsia="宋体" w:cs="宋体"/>
                <w:sz w:val="24"/>
                <w:highlight w:val="none"/>
                <w:lang w:val="en-US" w:eastAsia="zh-CN"/>
              </w:rPr>
            </w:pPr>
            <w:r>
              <w:rPr>
                <w:rFonts w:hint="eastAsia" w:ascii="宋体" w:hAnsi="宋体" w:cs="宋体"/>
                <w:sz w:val="24"/>
                <w:highlight w:val="none"/>
              </w:rPr>
              <w:t>1.25</w:t>
            </w:r>
          </w:p>
        </w:tc>
      </w:tr>
      <w:tr w14:paraId="7FED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5BC6BD8">
            <w:pPr>
              <w:spacing w:line="360" w:lineRule="auto"/>
              <w:rPr>
                <w:rFonts w:hint="eastAsia" w:ascii="宋体" w:hAnsi="宋体" w:cs="宋体"/>
                <w:sz w:val="24"/>
                <w:highlight w:val="none"/>
              </w:rPr>
            </w:pPr>
            <w:r>
              <w:rPr>
                <w:rFonts w:hint="eastAsia" w:ascii="宋体" w:hAnsi="宋体" w:cs="宋体"/>
                <w:sz w:val="24"/>
                <w:highlight w:val="none"/>
              </w:rPr>
              <w:t>现</w:t>
            </w:r>
            <w:r>
              <w:rPr>
                <w:rFonts w:ascii="宋体" w:hAnsi="宋体" w:cs="宋体"/>
                <w:sz w:val="24"/>
                <w:highlight w:val="none"/>
              </w:rPr>
              <w:t>金/流动负债比率</w:t>
            </w:r>
          </w:p>
        </w:tc>
        <w:tc>
          <w:tcPr>
            <w:tcW w:w="4523" w:type="dxa"/>
          </w:tcPr>
          <w:p w14:paraId="6C2A8E77">
            <w:pPr>
              <w:spacing w:line="360" w:lineRule="auto"/>
              <w:rPr>
                <w:rFonts w:hint="eastAsia" w:ascii="宋体" w:hAnsi="宋体" w:cs="宋体"/>
                <w:sz w:val="24"/>
                <w:highlight w:val="none"/>
              </w:rPr>
            </w:pPr>
            <w:r>
              <w:rPr>
                <w:rFonts w:hint="eastAsia" w:ascii="宋体" w:hAnsi="宋体" w:cs="宋体"/>
                <w:sz w:val="24"/>
                <w:highlight w:val="none"/>
              </w:rPr>
              <w:t>61.81%</w:t>
            </w:r>
          </w:p>
        </w:tc>
      </w:tr>
      <w:tr w14:paraId="4648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8F7AD02">
            <w:pPr>
              <w:spacing w:line="360" w:lineRule="auto"/>
              <w:rPr>
                <w:rFonts w:hint="eastAsia" w:ascii="宋体" w:hAnsi="宋体" w:cs="宋体"/>
                <w:sz w:val="24"/>
                <w:highlight w:val="none"/>
              </w:rPr>
            </w:pPr>
            <w:r>
              <w:rPr>
                <w:rFonts w:ascii="宋体" w:hAnsi="宋体" w:cs="宋体"/>
                <w:sz w:val="24"/>
                <w:highlight w:val="none"/>
              </w:rPr>
              <w:t>可利用的融资渠道及授信额度</w:t>
            </w:r>
          </w:p>
        </w:tc>
        <w:tc>
          <w:tcPr>
            <w:tcW w:w="4523" w:type="dxa"/>
          </w:tcPr>
          <w:p w14:paraId="39A7890D">
            <w:pPr>
              <w:spacing w:line="360" w:lineRule="auto"/>
              <w:rPr>
                <w:rFonts w:hint="eastAsia" w:ascii="宋体" w:hAnsi="宋体" w:eastAsia="宋体" w:cs="宋体"/>
                <w:sz w:val="24"/>
                <w:highlight w:val="none"/>
                <w:lang w:val="en-US" w:eastAsia="zh-CN"/>
              </w:rPr>
            </w:pPr>
            <w:r>
              <w:rPr>
                <w:rFonts w:hint="eastAsia" w:ascii="宋体" w:hAnsi="宋体" w:cs="宋体"/>
                <w:sz w:val="24"/>
                <w:highlight w:val="none"/>
              </w:rPr>
              <w:t>20</w:t>
            </w:r>
            <w:r>
              <w:rPr>
                <w:rFonts w:hint="eastAsia" w:ascii="宋体" w:hAnsi="宋体" w:cs="宋体"/>
                <w:sz w:val="24"/>
                <w:highlight w:val="none"/>
                <w:lang w:val="en-US" w:eastAsia="zh-CN"/>
              </w:rPr>
              <w:t>,</w:t>
            </w:r>
            <w:r>
              <w:rPr>
                <w:rFonts w:hint="eastAsia" w:ascii="宋体" w:hAnsi="宋体" w:cs="宋体"/>
                <w:sz w:val="24"/>
                <w:highlight w:val="none"/>
              </w:rPr>
              <w:t>000</w:t>
            </w:r>
            <w:r>
              <w:rPr>
                <w:rFonts w:hint="eastAsia" w:ascii="宋体" w:hAnsi="宋体" w:cs="宋体"/>
                <w:sz w:val="24"/>
                <w:highlight w:val="none"/>
                <w:lang w:val="en-US" w:eastAsia="zh-CN"/>
              </w:rPr>
              <w:t>万元</w:t>
            </w:r>
          </w:p>
        </w:tc>
      </w:tr>
      <w:tr w14:paraId="3DEA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56209ADE">
            <w:pPr>
              <w:spacing w:line="360" w:lineRule="auto"/>
              <w:rPr>
                <w:rFonts w:hint="eastAsia" w:ascii="宋体" w:hAnsi="宋体" w:cs="宋体"/>
                <w:sz w:val="24"/>
                <w:highlight w:val="none"/>
              </w:rPr>
            </w:pPr>
            <w:r>
              <w:rPr>
                <w:rFonts w:hint="eastAsia" w:ascii="宋体" w:hAnsi="宋体" w:cs="宋体"/>
                <w:sz w:val="24"/>
                <w:highlight w:val="none"/>
              </w:rPr>
              <w:t>重</w:t>
            </w:r>
            <w:r>
              <w:rPr>
                <w:rFonts w:ascii="宋体" w:hAnsi="宋体" w:cs="宋体"/>
                <w:sz w:val="24"/>
                <w:highlight w:val="none"/>
              </w:rPr>
              <w:t>大或有负债</w:t>
            </w:r>
          </w:p>
        </w:tc>
        <w:tc>
          <w:tcPr>
            <w:tcW w:w="4523" w:type="dxa"/>
          </w:tcPr>
          <w:p w14:paraId="29276EB3">
            <w:pPr>
              <w:spacing w:line="360" w:lineRule="auto"/>
              <w:rPr>
                <w:rFonts w:hint="eastAsia" w:ascii="宋体" w:hAnsi="宋体" w:cs="宋体"/>
                <w:sz w:val="24"/>
                <w:highlight w:val="none"/>
              </w:rPr>
            </w:pPr>
            <w:r>
              <w:rPr>
                <w:rFonts w:hint="eastAsia" w:ascii="宋体" w:hAnsi="宋体" w:cs="宋体"/>
                <w:sz w:val="24"/>
                <w:highlight w:val="none"/>
              </w:rPr>
              <w:t>无</w:t>
            </w:r>
          </w:p>
        </w:tc>
      </w:tr>
      <w:tr w14:paraId="748A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9AC8208">
            <w:pPr>
              <w:spacing w:line="360" w:lineRule="auto"/>
              <w:rPr>
                <w:rFonts w:hint="eastAsia" w:ascii="宋体" w:hAnsi="宋体" w:cs="宋体"/>
                <w:sz w:val="24"/>
                <w:highlight w:val="none"/>
              </w:rPr>
            </w:pPr>
            <w:r>
              <w:rPr>
                <w:rFonts w:ascii="宋体" w:hAnsi="宋体" w:cs="宋体"/>
                <w:sz w:val="24"/>
                <w:highlight w:val="none"/>
              </w:rPr>
              <w:t>债务逾期或违约记录及其对应金额</w:t>
            </w:r>
          </w:p>
        </w:tc>
        <w:tc>
          <w:tcPr>
            <w:tcW w:w="4523" w:type="dxa"/>
          </w:tcPr>
          <w:p w14:paraId="75DFC983">
            <w:pPr>
              <w:spacing w:line="360" w:lineRule="auto"/>
              <w:rPr>
                <w:rFonts w:hint="eastAsia" w:ascii="宋体" w:hAnsi="宋体" w:cs="宋体"/>
                <w:sz w:val="24"/>
                <w:highlight w:val="none"/>
              </w:rPr>
            </w:pPr>
            <w:r>
              <w:rPr>
                <w:rFonts w:hint="eastAsia" w:ascii="宋体" w:hAnsi="宋体" w:cs="宋体"/>
                <w:sz w:val="24"/>
                <w:highlight w:val="none"/>
              </w:rPr>
              <w:t>无</w:t>
            </w:r>
          </w:p>
        </w:tc>
      </w:tr>
      <w:tr w14:paraId="295F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5C63D12">
            <w:pPr>
              <w:spacing w:line="360" w:lineRule="auto"/>
              <w:rPr>
                <w:rFonts w:hint="eastAsia" w:ascii="宋体" w:hAnsi="宋体" w:cs="宋体"/>
                <w:sz w:val="24"/>
                <w:highlight w:val="none"/>
              </w:rPr>
            </w:pPr>
            <w:r>
              <w:rPr>
                <w:rFonts w:hint="eastAsia" w:ascii="宋体" w:hAnsi="宋体" w:cs="宋体"/>
                <w:sz w:val="24"/>
                <w:highlight w:val="none"/>
              </w:rPr>
              <w:t>对</w:t>
            </w:r>
            <w:r>
              <w:rPr>
                <w:rFonts w:ascii="宋体" w:hAnsi="宋体" w:cs="宋体"/>
                <w:sz w:val="24"/>
                <w:highlight w:val="none"/>
              </w:rPr>
              <w:t>外担保</w:t>
            </w:r>
          </w:p>
        </w:tc>
        <w:tc>
          <w:tcPr>
            <w:tcW w:w="4523" w:type="dxa"/>
          </w:tcPr>
          <w:p w14:paraId="2C7884DB">
            <w:pPr>
              <w:spacing w:line="360" w:lineRule="auto"/>
              <w:rPr>
                <w:rFonts w:hint="eastAsia" w:ascii="宋体" w:hAnsi="宋体" w:cs="宋体"/>
                <w:sz w:val="24"/>
                <w:highlight w:val="none"/>
              </w:rPr>
            </w:pPr>
            <w:r>
              <w:rPr>
                <w:rFonts w:hint="eastAsia" w:ascii="宋体" w:hAnsi="宋体" w:cs="宋体"/>
                <w:sz w:val="24"/>
                <w:highlight w:val="none"/>
              </w:rPr>
              <w:t>对上市公司担保总额共计18</w:t>
            </w:r>
            <w:r>
              <w:rPr>
                <w:rFonts w:hint="eastAsia" w:ascii="宋体" w:hAnsi="宋体" w:cs="宋体"/>
                <w:sz w:val="24"/>
                <w:highlight w:val="none"/>
                <w:lang w:val="en-US" w:eastAsia="zh-CN"/>
              </w:rPr>
              <w:t>,</w:t>
            </w:r>
            <w:r>
              <w:rPr>
                <w:rFonts w:hint="eastAsia" w:ascii="宋体" w:hAnsi="宋体" w:cs="宋体"/>
                <w:sz w:val="24"/>
                <w:highlight w:val="none"/>
              </w:rPr>
              <w:t>100万元</w:t>
            </w:r>
          </w:p>
        </w:tc>
      </w:tr>
    </w:tbl>
    <w:p w14:paraId="5F08D910">
      <w:pPr>
        <w:spacing w:line="360" w:lineRule="auto"/>
        <w:rPr>
          <w:rFonts w:hint="eastAsia" w:ascii="宋体" w:hAnsi="宋体" w:cs="宋体"/>
          <w:sz w:val="24"/>
        </w:rPr>
      </w:pPr>
    </w:p>
    <w:p w14:paraId="19FC944A">
      <w:pPr>
        <w:numPr>
          <w:ilvl w:val="0"/>
          <w:numId w:val="3"/>
        </w:numPr>
        <w:spacing w:line="360" w:lineRule="auto"/>
        <w:ind w:firstLine="480" w:firstLineChars="200"/>
        <w:rPr>
          <w:rFonts w:hint="eastAsia" w:ascii="宋体" w:hAnsi="宋体" w:cs="宋体"/>
          <w:sz w:val="24"/>
        </w:rPr>
      </w:pPr>
      <w:r>
        <w:rPr>
          <w:rFonts w:ascii="宋体" w:hAnsi="宋体" w:cs="宋体"/>
          <w:sz w:val="24"/>
        </w:rPr>
        <w:t>控股股东</w:t>
      </w:r>
      <w:r>
        <w:rPr>
          <w:rFonts w:hint="eastAsia" w:ascii="宋体" w:hAnsi="宋体" w:cs="宋体"/>
          <w:sz w:val="24"/>
        </w:rPr>
        <w:t>资金偿还风险</w:t>
      </w:r>
    </w:p>
    <w:p w14:paraId="3D8B0467">
      <w:pPr>
        <w:spacing w:line="360" w:lineRule="auto"/>
        <w:ind w:firstLine="480" w:firstLineChars="200"/>
        <w:rPr>
          <w:rFonts w:hint="eastAsia" w:ascii="宋体" w:hAnsi="宋体" w:cs="宋体"/>
          <w:sz w:val="24"/>
        </w:rPr>
      </w:pPr>
      <w:r>
        <w:rPr>
          <w:rFonts w:ascii="宋体" w:hAnsi="宋体" w:cs="宋体"/>
          <w:sz w:val="24"/>
        </w:rPr>
        <w:t>控股股东不存在因债务问题涉及的重大诉讼或仲裁情况。综合考虑资金实力及融资渠道等因素，目前控股股东不存在相关偿债风险。</w:t>
      </w:r>
    </w:p>
    <w:p w14:paraId="28DB1B9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3、控股股东与公司交易情况</w:t>
      </w:r>
    </w:p>
    <w:p w14:paraId="343A5F74">
      <w:pPr>
        <w:spacing w:line="360" w:lineRule="auto"/>
        <w:ind w:firstLine="480" w:firstLineChars="200"/>
        <w:rPr>
          <w:rFonts w:hint="eastAsia" w:asciiTheme="minorEastAsia" w:hAnsiTheme="minorEastAsia" w:eastAsiaTheme="minorEastAsia"/>
          <w:sz w:val="24"/>
        </w:rPr>
      </w:pPr>
      <w:r>
        <w:rPr>
          <w:rFonts w:ascii="宋体" w:hAnsi="宋体" w:cs="宋体"/>
          <w:sz w:val="24"/>
        </w:rPr>
        <w:t>截至本公告披露日过去12个月，公司与</w:t>
      </w:r>
      <w:r>
        <w:rPr>
          <w:rFonts w:hint="eastAsia" w:ascii="宋体" w:hAnsi="宋体" w:cs="宋体"/>
          <w:sz w:val="24"/>
        </w:rPr>
        <w:t>控股股东</w:t>
      </w:r>
      <w:r>
        <w:rPr>
          <w:rFonts w:ascii="宋体" w:hAnsi="宋体" w:cs="宋体"/>
          <w:sz w:val="24"/>
        </w:rPr>
        <w:t>发生的关联交易情况如下：</w:t>
      </w:r>
    </w:p>
    <w:p w14:paraId="675FED36">
      <w:pPr>
        <w:spacing w:line="360" w:lineRule="auto"/>
        <w:ind w:firstLine="480" w:firstLineChars="200"/>
        <w:jc w:val="right"/>
        <w:rPr>
          <w:rFonts w:hint="eastAsia" w:asciiTheme="minorEastAsia" w:hAnsiTheme="minorEastAsia" w:eastAsiaTheme="minorEastAsia"/>
          <w:sz w:val="24"/>
        </w:rPr>
      </w:pPr>
      <w:r>
        <w:rPr>
          <w:rFonts w:hint="eastAsia" w:asciiTheme="minorEastAsia" w:hAnsiTheme="minorEastAsia" w:eastAsiaTheme="minorEastAsia"/>
          <w:sz w:val="24"/>
        </w:rPr>
        <w:t>单位：万元</w:t>
      </w:r>
    </w:p>
    <w:p w14:paraId="3E68B34C">
      <w:pPr>
        <w:spacing w:line="360" w:lineRule="auto"/>
        <w:ind w:firstLine="480" w:firstLineChars="200"/>
        <w:jc w:val="right"/>
        <w:rPr>
          <w:rFonts w:hint="eastAsia" w:asciiTheme="minorEastAsia" w:hAnsiTheme="minorEastAsia" w:eastAsiaTheme="minorEastAsia"/>
          <w:sz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B2B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14:paraId="462E0CBF">
            <w:pPr>
              <w:spacing w:line="360" w:lineRule="auto"/>
              <w:jc w:val="center"/>
              <w:rPr>
                <w:rFonts w:hint="eastAsia" w:asciiTheme="minorEastAsia" w:hAnsiTheme="minorEastAsia" w:eastAsiaTheme="minorEastAsia"/>
                <w:sz w:val="24"/>
              </w:rPr>
            </w:pPr>
            <w:r>
              <w:rPr>
                <w:rFonts w:hint="eastAsia" w:ascii="宋体" w:hAnsi="宋体" w:cs="宋体"/>
                <w:sz w:val="24"/>
              </w:rPr>
              <w:t>关</w:t>
            </w:r>
            <w:r>
              <w:rPr>
                <w:rFonts w:ascii="宋体" w:hAnsi="宋体" w:cs="宋体"/>
                <w:sz w:val="24"/>
              </w:rPr>
              <w:t>联交易方</w:t>
            </w:r>
          </w:p>
        </w:tc>
        <w:tc>
          <w:tcPr>
            <w:tcW w:w="2130" w:type="dxa"/>
          </w:tcPr>
          <w:p w14:paraId="7C428F40">
            <w:pPr>
              <w:spacing w:line="360" w:lineRule="auto"/>
              <w:jc w:val="center"/>
              <w:rPr>
                <w:rFonts w:hint="eastAsia" w:asciiTheme="minorEastAsia" w:hAnsiTheme="minorEastAsia" w:eastAsiaTheme="minorEastAsia"/>
                <w:sz w:val="24"/>
              </w:rPr>
            </w:pPr>
            <w:r>
              <w:rPr>
                <w:rFonts w:ascii="宋体" w:hAnsi="宋体" w:cs="宋体"/>
                <w:sz w:val="24"/>
              </w:rPr>
              <w:t>交易类别</w:t>
            </w:r>
          </w:p>
        </w:tc>
        <w:tc>
          <w:tcPr>
            <w:tcW w:w="2131" w:type="dxa"/>
          </w:tcPr>
          <w:p w14:paraId="58FF5752">
            <w:pPr>
              <w:spacing w:line="360" w:lineRule="auto"/>
              <w:jc w:val="center"/>
              <w:rPr>
                <w:rFonts w:hint="eastAsia" w:asciiTheme="minorEastAsia" w:hAnsiTheme="minorEastAsia" w:eastAsiaTheme="minorEastAsia"/>
                <w:sz w:val="24"/>
              </w:rPr>
            </w:pPr>
            <w:r>
              <w:rPr>
                <w:rFonts w:ascii="宋体" w:hAnsi="宋体" w:cs="宋体"/>
                <w:sz w:val="24"/>
              </w:rPr>
              <w:t>关联交易内容</w:t>
            </w:r>
          </w:p>
        </w:tc>
        <w:tc>
          <w:tcPr>
            <w:tcW w:w="2131" w:type="dxa"/>
          </w:tcPr>
          <w:p w14:paraId="3FF1E4CC">
            <w:pPr>
              <w:spacing w:line="360" w:lineRule="auto"/>
              <w:jc w:val="center"/>
              <w:rPr>
                <w:rFonts w:hint="eastAsia" w:asciiTheme="minorEastAsia" w:hAnsiTheme="minorEastAsia" w:eastAsiaTheme="minorEastAsia"/>
                <w:sz w:val="24"/>
              </w:rPr>
            </w:pPr>
            <w:r>
              <w:rPr>
                <w:rFonts w:ascii="宋体" w:hAnsi="宋体" w:cs="宋体"/>
                <w:sz w:val="24"/>
              </w:rPr>
              <w:t>交易金额</w:t>
            </w:r>
          </w:p>
        </w:tc>
      </w:tr>
      <w:tr w14:paraId="4F01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CAA3E7D">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rPr>
              <w:t>苏州吴中投资控股有限公司</w:t>
            </w:r>
          </w:p>
        </w:tc>
        <w:tc>
          <w:tcPr>
            <w:tcW w:w="2130" w:type="dxa"/>
          </w:tcPr>
          <w:p w14:paraId="6DA3D56F">
            <w:pPr>
              <w:spacing w:line="360" w:lineRule="auto"/>
              <w:ind w:firstLine="240" w:firstLineChars="100"/>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房屋租赁</w:t>
            </w:r>
          </w:p>
        </w:tc>
        <w:tc>
          <w:tcPr>
            <w:tcW w:w="2131" w:type="dxa"/>
          </w:tcPr>
          <w:p w14:paraId="15F55821">
            <w:pPr>
              <w:spacing w:line="360" w:lineRule="auto"/>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办公场所租赁</w:t>
            </w:r>
          </w:p>
        </w:tc>
        <w:tc>
          <w:tcPr>
            <w:tcW w:w="2131" w:type="dxa"/>
          </w:tcPr>
          <w:p w14:paraId="6F21B7AD">
            <w:pPr>
              <w:spacing w:line="360" w:lineRule="auto"/>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4.32</w:t>
            </w:r>
          </w:p>
        </w:tc>
      </w:tr>
    </w:tbl>
    <w:p w14:paraId="652E4CAF">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4、质押风险情况评估及应对措施</w:t>
      </w:r>
    </w:p>
    <w:p w14:paraId="2C970FB9">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本次质押不存在可能引发平仓或被强制平仓的情况，不存在可能导致公司实际控制权发生变更的实质性因素。如后续出现风险，控股股东将采取包括但不限于补充质押、提前还款等措施加以应对。</w:t>
      </w:r>
    </w:p>
    <w:p w14:paraId="0A5E2444">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上述质押事项如出现重大变动情况，公司将按照规定及时披露相关情况，敬请广大投资者注意投资风险。</w:t>
      </w:r>
    </w:p>
    <w:p w14:paraId="5DA1B321">
      <w:pPr>
        <w:spacing w:line="360" w:lineRule="auto"/>
        <w:rPr>
          <w:rFonts w:hint="eastAsia" w:asciiTheme="minorEastAsia" w:hAnsiTheme="minorEastAsia" w:eastAsiaTheme="minorEastAsia"/>
          <w:sz w:val="24"/>
        </w:rPr>
      </w:pPr>
    </w:p>
    <w:p w14:paraId="236365B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特此公告。</w:t>
      </w:r>
    </w:p>
    <w:p w14:paraId="5475831F">
      <w:pPr>
        <w:spacing w:line="360" w:lineRule="auto"/>
        <w:ind w:firstLine="480" w:firstLineChars="200"/>
        <w:rPr>
          <w:rFonts w:hint="eastAsia" w:asciiTheme="minorEastAsia" w:hAnsiTheme="minorEastAsia" w:eastAsiaTheme="minorEastAsia"/>
          <w:sz w:val="24"/>
        </w:rPr>
      </w:pPr>
    </w:p>
    <w:p w14:paraId="05D69FB2">
      <w:pPr>
        <w:spacing w:line="360" w:lineRule="auto"/>
        <w:ind w:firstLine="480" w:firstLineChars="200"/>
        <w:rPr>
          <w:rFonts w:hint="eastAsia" w:asciiTheme="minorEastAsia" w:hAnsiTheme="minorEastAsia" w:eastAsiaTheme="minorEastAsia"/>
          <w:sz w:val="24"/>
        </w:rPr>
      </w:pPr>
    </w:p>
    <w:p w14:paraId="28D632CA">
      <w:pPr>
        <w:pStyle w:val="5"/>
        <w:adjustRightInd w:val="0"/>
        <w:snapToGrid w:val="0"/>
        <w:spacing w:before="0" w:beforeAutospacing="0" w:after="0" w:afterAutospacing="0" w:line="360" w:lineRule="auto"/>
        <w:ind w:firstLine="480" w:firstLineChars="200"/>
        <w:jc w:val="right"/>
        <w:rPr>
          <w:rFonts w:hint="eastAsia" w:cs="Arial"/>
        </w:rPr>
      </w:pPr>
      <w:r>
        <w:rPr>
          <w:rFonts w:hint="eastAsia" w:cs="Arial"/>
        </w:rPr>
        <w:t>江苏吴中医药发展股份有限公司</w:t>
      </w:r>
    </w:p>
    <w:p w14:paraId="5B2CBAAA">
      <w:pPr>
        <w:pStyle w:val="5"/>
        <w:adjustRightInd w:val="0"/>
        <w:snapToGrid w:val="0"/>
        <w:spacing w:before="0" w:beforeAutospacing="0" w:after="0" w:afterAutospacing="0" w:line="360" w:lineRule="auto"/>
        <w:ind w:right="1080" w:firstLine="480" w:firstLineChars="200"/>
        <w:jc w:val="right"/>
        <w:rPr>
          <w:rFonts w:hint="eastAsia" w:cs="Arial"/>
        </w:rPr>
      </w:pPr>
      <w:r>
        <w:rPr>
          <w:rFonts w:hint="eastAsia" w:cs="Arial"/>
        </w:rPr>
        <w:t xml:space="preserve">董事会      </w:t>
      </w:r>
    </w:p>
    <w:p w14:paraId="1B41503F">
      <w:pPr>
        <w:pStyle w:val="5"/>
        <w:adjustRightInd w:val="0"/>
        <w:snapToGrid w:val="0"/>
        <w:spacing w:before="0" w:beforeAutospacing="0" w:after="0" w:afterAutospacing="0" w:line="360" w:lineRule="auto"/>
        <w:ind w:right="480" w:firstLine="480" w:firstLineChars="200"/>
        <w:jc w:val="center"/>
        <w:rPr>
          <w:rFonts w:hint="eastAsia" w:cs="Arial"/>
        </w:rPr>
      </w:pPr>
      <w:r>
        <w:rPr>
          <w:rFonts w:hint="eastAsia" w:cs="Arial"/>
        </w:rPr>
        <w:t xml:space="preserve">                                           2024年</w:t>
      </w:r>
      <w:r>
        <w:rPr>
          <w:rFonts w:hint="eastAsia" w:cs="Arial"/>
          <w:lang w:val="en-US" w:eastAsia="zh-CN"/>
        </w:rPr>
        <w:t>10</w:t>
      </w:r>
      <w:r>
        <w:rPr>
          <w:rFonts w:hint="eastAsia" w:cs="Arial"/>
        </w:rPr>
        <w:t>月</w:t>
      </w:r>
      <w:r>
        <w:rPr>
          <w:rFonts w:hint="eastAsia" w:cs="Arial"/>
          <w:highlight w:val="none"/>
          <w:lang w:val="en-US" w:eastAsia="zh-CN"/>
        </w:rPr>
        <w:t>8</w:t>
      </w:r>
      <w:bookmarkStart w:id="0" w:name="_GoBack"/>
      <w:bookmarkEnd w:id="0"/>
      <w:r>
        <w:rPr>
          <w:rFonts w:hint="eastAsia" w:cs="Arial"/>
          <w:highlight w:val="none"/>
        </w:rPr>
        <w:t>日</w:t>
      </w:r>
    </w:p>
    <w:p w14:paraId="67752AE9">
      <w:pPr>
        <w:spacing w:line="360" w:lineRule="auto"/>
        <w:rPr>
          <w:rFonts w:hint="eastAsia" w:asciiTheme="minorEastAsia" w:hAnsiTheme="minorEastAsia" w:eastAsiaTheme="min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17856"/>
    <w:multiLevelType w:val="singleLevel"/>
    <w:tmpl w:val="9A217856"/>
    <w:lvl w:ilvl="0" w:tentative="0">
      <w:start w:val="3"/>
      <w:numFmt w:val="decimal"/>
      <w:suff w:val="nothing"/>
      <w:lvlText w:val="（%1）"/>
      <w:lvlJc w:val="left"/>
    </w:lvl>
  </w:abstractNum>
  <w:abstractNum w:abstractNumId="1">
    <w:nsid w:val="C62708A0"/>
    <w:multiLevelType w:val="singleLevel"/>
    <w:tmpl w:val="C62708A0"/>
    <w:lvl w:ilvl="0" w:tentative="0">
      <w:start w:val="3"/>
      <w:numFmt w:val="chineseCounting"/>
      <w:suff w:val="nothing"/>
      <w:lvlText w:val="%1、"/>
      <w:lvlJc w:val="left"/>
      <w:pPr>
        <w:ind w:left="-62"/>
      </w:pPr>
      <w:rPr>
        <w:rFonts w:hint="eastAsia"/>
      </w:rPr>
    </w:lvl>
  </w:abstractNum>
  <w:abstractNum w:abstractNumId="2">
    <w:nsid w:val="28CD7E0F"/>
    <w:multiLevelType w:val="multilevel"/>
    <w:tmpl w:val="28CD7E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4B1CF2"/>
    <w:rsid w:val="0000032B"/>
    <w:rsid w:val="0001153F"/>
    <w:rsid w:val="00015559"/>
    <w:rsid w:val="00021674"/>
    <w:rsid w:val="0003171D"/>
    <w:rsid w:val="000377FA"/>
    <w:rsid w:val="0004014F"/>
    <w:rsid w:val="000514F9"/>
    <w:rsid w:val="00084F33"/>
    <w:rsid w:val="000A3C9A"/>
    <w:rsid w:val="000B5B87"/>
    <w:rsid w:val="000C036B"/>
    <w:rsid w:val="000C1EBF"/>
    <w:rsid w:val="000C636E"/>
    <w:rsid w:val="000D5160"/>
    <w:rsid w:val="000E374D"/>
    <w:rsid w:val="000E5928"/>
    <w:rsid w:val="001044FC"/>
    <w:rsid w:val="00115DE0"/>
    <w:rsid w:val="00125EB5"/>
    <w:rsid w:val="00141A30"/>
    <w:rsid w:val="0014235B"/>
    <w:rsid w:val="001449C0"/>
    <w:rsid w:val="00163205"/>
    <w:rsid w:val="00165F80"/>
    <w:rsid w:val="00167B35"/>
    <w:rsid w:val="0017347A"/>
    <w:rsid w:val="00184711"/>
    <w:rsid w:val="001A6F91"/>
    <w:rsid w:val="001D1578"/>
    <w:rsid w:val="001D1E21"/>
    <w:rsid w:val="001E528D"/>
    <w:rsid w:val="001F698F"/>
    <w:rsid w:val="00203BD0"/>
    <w:rsid w:val="00236894"/>
    <w:rsid w:val="002442A3"/>
    <w:rsid w:val="00245594"/>
    <w:rsid w:val="00251C73"/>
    <w:rsid w:val="0025726D"/>
    <w:rsid w:val="0025795B"/>
    <w:rsid w:val="0027220C"/>
    <w:rsid w:val="002808AB"/>
    <w:rsid w:val="00284CD2"/>
    <w:rsid w:val="00294FF0"/>
    <w:rsid w:val="00295E92"/>
    <w:rsid w:val="002B7CCB"/>
    <w:rsid w:val="002C71E7"/>
    <w:rsid w:val="002D2369"/>
    <w:rsid w:val="002F74DC"/>
    <w:rsid w:val="0030458F"/>
    <w:rsid w:val="00324EB8"/>
    <w:rsid w:val="003276DC"/>
    <w:rsid w:val="0037324C"/>
    <w:rsid w:val="00373349"/>
    <w:rsid w:val="00375CF7"/>
    <w:rsid w:val="003870CC"/>
    <w:rsid w:val="0039298D"/>
    <w:rsid w:val="003B5345"/>
    <w:rsid w:val="003C607D"/>
    <w:rsid w:val="003D0C3B"/>
    <w:rsid w:val="003D3FFF"/>
    <w:rsid w:val="003E355B"/>
    <w:rsid w:val="003F1B67"/>
    <w:rsid w:val="00407F53"/>
    <w:rsid w:val="00410932"/>
    <w:rsid w:val="0041130A"/>
    <w:rsid w:val="0041720E"/>
    <w:rsid w:val="004502F4"/>
    <w:rsid w:val="00460CB4"/>
    <w:rsid w:val="00463844"/>
    <w:rsid w:val="004643CF"/>
    <w:rsid w:val="00472D80"/>
    <w:rsid w:val="00496E8A"/>
    <w:rsid w:val="004B1CF2"/>
    <w:rsid w:val="004C27B9"/>
    <w:rsid w:val="004C3DB4"/>
    <w:rsid w:val="004E363D"/>
    <w:rsid w:val="004E718D"/>
    <w:rsid w:val="004F1ED6"/>
    <w:rsid w:val="004F1F15"/>
    <w:rsid w:val="0054311D"/>
    <w:rsid w:val="0056118D"/>
    <w:rsid w:val="005712CB"/>
    <w:rsid w:val="00577CBB"/>
    <w:rsid w:val="005B4F18"/>
    <w:rsid w:val="005C3668"/>
    <w:rsid w:val="005D4ACB"/>
    <w:rsid w:val="00600AB1"/>
    <w:rsid w:val="006125A1"/>
    <w:rsid w:val="00615D49"/>
    <w:rsid w:val="006412D7"/>
    <w:rsid w:val="00651610"/>
    <w:rsid w:val="00662769"/>
    <w:rsid w:val="00683AED"/>
    <w:rsid w:val="00695D72"/>
    <w:rsid w:val="006B29CA"/>
    <w:rsid w:val="006B2B65"/>
    <w:rsid w:val="006D6C41"/>
    <w:rsid w:val="007001F0"/>
    <w:rsid w:val="007014FC"/>
    <w:rsid w:val="007303E2"/>
    <w:rsid w:val="00755E14"/>
    <w:rsid w:val="007564B5"/>
    <w:rsid w:val="007648C4"/>
    <w:rsid w:val="00766EEB"/>
    <w:rsid w:val="0077105B"/>
    <w:rsid w:val="00772A33"/>
    <w:rsid w:val="007B04E1"/>
    <w:rsid w:val="007C7BAF"/>
    <w:rsid w:val="007E2563"/>
    <w:rsid w:val="00802A0A"/>
    <w:rsid w:val="008368D8"/>
    <w:rsid w:val="00887DA0"/>
    <w:rsid w:val="00893296"/>
    <w:rsid w:val="008935D4"/>
    <w:rsid w:val="008A3CA8"/>
    <w:rsid w:val="008C55C0"/>
    <w:rsid w:val="008E57CC"/>
    <w:rsid w:val="008F17F4"/>
    <w:rsid w:val="008F5155"/>
    <w:rsid w:val="008F6AB5"/>
    <w:rsid w:val="00933FA5"/>
    <w:rsid w:val="00934104"/>
    <w:rsid w:val="00942629"/>
    <w:rsid w:val="0095160F"/>
    <w:rsid w:val="00955A3F"/>
    <w:rsid w:val="00960430"/>
    <w:rsid w:val="00967AA4"/>
    <w:rsid w:val="00983758"/>
    <w:rsid w:val="009D2B30"/>
    <w:rsid w:val="00A05A16"/>
    <w:rsid w:val="00A10EF8"/>
    <w:rsid w:val="00A267F9"/>
    <w:rsid w:val="00A71C3F"/>
    <w:rsid w:val="00A72B4C"/>
    <w:rsid w:val="00A7472E"/>
    <w:rsid w:val="00A842DF"/>
    <w:rsid w:val="00AA10D4"/>
    <w:rsid w:val="00AB2664"/>
    <w:rsid w:val="00AC7ABF"/>
    <w:rsid w:val="00AD3A42"/>
    <w:rsid w:val="00AE23F2"/>
    <w:rsid w:val="00AF228F"/>
    <w:rsid w:val="00B07E79"/>
    <w:rsid w:val="00B31A8D"/>
    <w:rsid w:val="00B36025"/>
    <w:rsid w:val="00B37855"/>
    <w:rsid w:val="00B4546E"/>
    <w:rsid w:val="00B52013"/>
    <w:rsid w:val="00B834BA"/>
    <w:rsid w:val="00B84C52"/>
    <w:rsid w:val="00B87AB6"/>
    <w:rsid w:val="00B91EEA"/>
    <w:rsid w:val="00B96412"/>
    <w:rsid w:val="00BB0AE6"/>
    <w:rsid w:val="00BB5C59"/>
    <w:rsid w:val="00BB5F62"/>
    <w:rsid w:val="00BC7D27"/>
    <w:rsid w:val="00BD6BEA"/>
    <w:rsid w:val="00BE73EE"/>
    <w:rsid w:val="00BF68F7"/>
    <w:rsid w:val="00C01D90"/>
    <w:rsid w:val="00C14435"/>
    <w:rsid w:val="00C61F2F"/>
    <w:rsid w:val="00C71DAA"/>
    <w:rsid w:val="00C77455"/>
    <w:rsid w:val="00CA4B90"/>
    <w:rsid w:val="00CA7BF4"/>
    <w:rsid w:val="00CC65AD"/>
    <w:rsid w:val="00CD2A4D"/>
    <w:rsid w:val="00CD5891"/>
    <w:rsid w:val="00CD6EAB"/>
    <w:rsid w:val="00CE280D"/>
    <w:rsid w:val="00CF2676"/>
    <w:rsid w:val="00CF42BE"/>
    <w:rsid w:val="00CF788C"/>
    <w:rsid w:val="00D022D8"/>
    <w:rsid w:val="00D04CBB"/>
    <w:rsid w:val="00D149D6"/>
    <w:rsid w:val="00D21B8D"/>
    <w:rsid w:val="00D23FBF"/>
    <w:rsid w:val="00D26D15"/>
    <w:rsid w:val="00D45281"/>
    <w:rsid w:val="00D53DC4"/>
    <w:rsid w:val="00D564BF"/>
    <w:rsid w:val="00D67760"/>
    <w:rsid w:val="00D75E52"/>
    <w:rsid w:val="00D77022"/>
    <w:rsid w:val="00D86A2F"/>
    <w:rsid w:val="00D90BC6"/>
    <w:rsid w:val="00DB401E"/>
    <w:rsid w:val="00DB51ED"/>
    <w:rsid w:val="00DC0BBB"/>
    <w:rsid w:val="00DC74FC"/>
    <w:rsid w:val="00DD1CD7"/>
    <w:rsid w:val="00E003D0"/>
    <w:rsid w:val="00E025CD"/>
    <w:rsid w:val="00E05034"/>
    <w:rsid w:val="00E220DE"/>
    <w:rsid w:val="00E36C90"/>
    <w:rsid w:val="00E43FEF"/>
    <w:rsid w:val="00E47FA6"/>
    <w:rsid w:val="00E62B69"/>
    <w:rsid w:val="00E74755"/>
    <w:rsid w:val="00E77D37"/>
    <w:rsid w:val="00E9529E"/>
    <w:rsid w:val="00E96761"/>
    <w:rsid w:val="00EA6444"/>
    <w:rsid w:val="00EB7FBA"/>
    <w:rsid w:val="00ED5419"/>
    <w:rsid w:val="00EE1B03"/>
    <w:rsid w:val="00EE6060"/>
    <w:rsid w:val="00EF0689"/>
    <w:rsid w:val="00EF67AA"/>
    <w:rsid w:val="00F03FA2"/>
    <w:rsid w:val="00F168FB"/>
    <w:rsid w:val="00F21312"/>
    <w:rsid w:val="00F23D77"/>
    <w:rsid w:val="00F25299"/>
    <w:rsid w:val="00F642E6"/>
    <w:rsid w:val="00FA5496"/>
    <w:rsid w:val="00FB56C5"/>
    <w:rsid w:val="00FB79DD"/>
    <w:rsid w:val="00FE2C34"/>
    <w:rsid w:val="00FE4FBE"/>
    <w:rsid w:val="00FE5ACA"/>
    <w:rsid w:val="02791BE4"/>
    <w:rsid w:val="06353A02"/>
    <w:rsid w:val="0C0B7367"/>
    <w:rsid w:val="0C1562F3"/>
    <w:rsid w:val="0D12542B"/>
    <w:rsid w:val="0E7616B1"/>
    <w:rsid w:val="0F2E3CA4"/>
    <w:rsid w:val="0F4308CC"/>
    <w:rsid w:val="0FFD54BA"/>
    <w:rsid w:val="13B660AC"/>
    <w:rsid w:val="15243997"/>
    <w:rsid w:val="15286579"/>
    <w:rsid w:val="164B51D1"/>
    <w:rsid w:val="17215F32"/>
    <w:rsid w:val="1B8F5B60"/>
    <w:rsid w:val="1C79274E"/>
    <w:rsid w:val="1E324D9F"/>
    <w:rsid w:val="203211B0"/>
    <w:rsid w:val="20515E50"/>
    <w:rsid w:val="219B0D05"/>
    <w:rsid w:val="22101037"/>
    <w:rsid w:val="24E94533"/>
    <w:rsid w:val="24FD1978"/>
    <w:rsid w:val="270D0F81"/>
    <w:rsid w:val="271F0C80"/>
    <w:rsid w:val="28170B48"/>
    <w:rsid w:val="28703B89"/>
    <w:rsid w:val="28F72F97"/>
    <w:rsid w:val="2BDA4BD6"/>
    <w:rsid w:val="2F577230"/>
    <w:rsid w:val="2F725F50"/>
    <w:rsid w:val="30766E97"/>
    <w:rsid w:val="30A26868"/>
    <w:rsid w:val="35E61EEA"/>
    <w:rsid w:val="35EA010B"/>
    <w:rsid w:val="38CF35E8"/>
    <w:rsid w:val="39FD5F33"/>
    <w:rsid w:val="3A1A34E1"/>
    <w:rsid w:val="3B4756B8"/>
    <w:rsid w:val="3EF06066"/>
    <w:rsid w:val="4605689B"/>
    <w:rsid w:val="486D2AEF"/>
    <w:rsid w:val="49A94CF2"/>
    <w:rsid w:val="4CD76AB1"/>
    <w:rsid w:val="4DD54DA5"/>
    <w:rsid w:val="4E3C3076"/>
    <w:rsid w:val="4E720846"/>
    <w:rsid w:val="52B44D4C"/>
    <w:rsid w:val="53642E53"/>
    <w:rsid w:val="53852B98"/>
    <w:rsid w:val="547E7F44"/>
    <w:rsid w:val="5654152B"/>
    <w:rsid w:val="591B4EBF"/>
    <w:rsid w:val="59232E69"/>
    <w:rsid w:val="5AA4622B"/>
    <w:rsid w:val="5B8A3673"/>
    <w:rsid w:val="5B9462A0"/>
    <w:rsid w:val="5D155B01"/>
    <w:rsid w:val="5D391372"/>
    <w:rsid w:val="5EBA426F"/>
    <w:rsid w:val="5F922AF6"/>
    <w:rsid w:val="611D0AE5"/>
    <w:rsid w:val="615F10FE"/>
    <w:rsid w:val="622B1165"/>
    <w:rsid w:val="62E55633"/>
    <w:rsid w:val="632C76F8"/>
    <w:rsid w:val="65300234"/>
    <w:rsid w:val="67F87BB6"/>
    <w:rsid w:val="689C49E5"/>
    <w:rsid w:val="694C1F68"/>
    <w:rsid w:val="69FC398E"/>
    <w:rsid w:val="6B193A43"/>
    <w:rsid w:val="6B8F3542"/>
    <w:rsid w:val="6BD6020E"/>
    <w:rsid w:val="6BE04BE9"/>
    <w:rsid w:val="6C292A66"/>
    <w:rsid w:val="6C4B6506"/>
    <w:rsid w:val="6C752CCF"/>
    <w:rsid w:val="6E1F2E49"/>
    <w:rsid w:val="6F2230AE"/>
    <w:rsid w:val="71327C95"/>
    <w:rsid w:val="71BC3A02"/>
    <w:rsid w:val="788C57FC"/>
    <w:rsid w:val="79181E66"/>
    <w:rsid w:val="7BE4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4"/>
    <w:qFormat/>
    <w:uiPriority w:val="99"/>
    <w:rPr>
      <w:rFonts w:ascii="Times New Roman" w:hAnsi="Times New Roman" w:eastAsia="宋体" w:cs="Times New Roman"/>
      <w:sz w:val="18"/>
      <w:szCs w:val="18"/>
    </w:rPr>
  </w:style>
  <w:style w:type="character" w:customStyle="1" w:styleId="11">
    <w:name w:val="页脚 字符"/>
    <w:basedOn w:val="8"/>
    <w:link w:val="3"/>
    <w:qFormat/>
    <w:uiPriority w:val="99"/>
    <w:rPr>
      <w:rFonts w:ascii="Times New Roman" w:hAnsi="Times New Roman" w:eastAsia="宋体" w:cs="Times New Roman"/>
      <w:sz w:val="18"/>
      <w:szCs w:val="18"/>
    </w:rPr>
  </w:style>
  <w:style w:type="character" w:customStyle="1" w:styleId="12">
    <w:name w:val="批注框文本 字符"/>
    <w:basedOn w:val="8"/>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2141</Words>
  <Characters>2573</Characters>
  <Lines>20</Lines>
  <Paragraphs>5</Paragraphs>
  <TotalTime>23</TotalTime>
  <ScaleCrop>false</ScaleCrop>
  <LinksUpToDate>false</LinksUpToDate>
  <CharactersWithSpaces>2639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2019-11-29T01:28:00Z</dcterms:created>
  <dc:creator>李锐</dc:creator>
  <cp:lastModifiedBy>王雅杰</cp:lastModifiedBy>
  <cp:lastPrinted>2024-09-30T06:11:16Z</cp:lastPrinted>
  <dcterms:modified xsi:type="dcterms:W3CDTF">2024-09-30T06:11:22Z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1F11C664E31A4760A6A2B511924E7C10</vt:lpwstr>
  </property>
</Properties>
</file>