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32F8EC">
      <w:pPr>
        <w:spacing w:line="360" w:lineRule="auto"/>
        <w:ind w:right="-153" w:rightChars="-73"/>
        <w:jc w:val="center"/>
        <w:rPr>
          <w:rFonts w:hint="default" w:ascii="黑体" w:hAnsi="宋体" w:eastAsia="宋体"/>
          <w:b/>
          <w:bCs/>
          <w:color w:val="FF0000"/>
          <w:sz w:val="32"/>
          <w:lang w:val="en-US" w:eastAsia="zh-CN"/>
        </w:rPr>
      </w:pPr>
      <w:r>
        <w:rPr>
          <w:rFonts w:hint="eastAsia" w:ascii="宋体" w:hAnsi="宋体" w:cs="宋体"/>
          <w:color w:val="000000"/>
          <w:kern w:val="0"/>
          <w:sz w:val="24"/>
        </w:rPr>
        <w:t>证券代码：600200        证券简称：江苏吴中       公告编号：临2024-</w:t>
      </w:r>
      <w:r>
        <w:rPr>
          <w:rFonts w:hint="eastAsia" w:ascii="宋体" w:hAnsi="宋体" w:cs="宋体"/>
          <w:color w:val="000000"/>
          <w:kern w:val="0"/>
          <w:sz w:val="24"/>
          <w:highlight w:val="none"/>
          <w:lang w:val="en-US" w:eastAsia="zh-CN"/>
        </w:rPr>
        <w:t>067</w:t>
      </w:r>
    </w:p>
    <w:p w14:paraId="482D5E6D">
      <w:pPr>
        <w:spacing w:line="360" w:lineRule="auto"/>
        <w:ind w:right="-153" w:rightChars="-73"/>
        <w:jc w:val="center"/>
        <w:rPr>
          <w:rFonts w:hint="eastAsia" w:ascii="黑体" w:hAnsi="宋体" w:eastAsia="黑体"/>
          <w:b/>
          <w:bCs/>
          <w:color w:val="FF0000"/>
          <w:sz w:val="32"/>
        </w:rPr>
      </w:pPr>
    </w:p>
    <w:p w14:paraId="63E46BF9">
      <w:pPr>
        <w:spacing w:line="360" w:lineRule="auto"/>
        <w:ind w:right="-153" w:rightChars="-73"/>
        <w:jc w:val="center"/>
        <w:rPr>
          <w:rFonts w:hint="eastAsia" w:ascii="黑体" w:hAnsi="宋体" w:eastAsia="黑体"/>
          <w:b/>
          <w:bCs/>
          <w:color w:val="FF0000"/>
          <w:sz w:val="32"/>
        </w:rPr>
      </w:pPr>
      <w:r>
        <w:rPr>
          <w:rFonts w:hint="eastAsia" w:ascii="黑体" w:hAnsi="宋体" w:eastAsia="黑体"/>
          <w:b/>
          <w:bCs/>
          <w:color w:val="FF0000"/>
          <w:sz w:val="32"/>
        </w:rPr>
        <w:t>江苏吴中医药发展股份有限公司</w:t>
      </w:r>
    </w:p>
    <w:p w14:paraId="0E6FED51">
      <w:pPr>
        <w:spacing w:line="360" w:lineRule="auto"/>
        <w:ind w:right="-153" w:rightChars="-73"/>
        <w:jc w:val="center"/>
        <w:rPr>
          <w:rFonts w:hint="eastAsia" w:ascii="黑体" w:hAnsi="宋体" w:eastAsia="黑体"/>
          <w:b/>
          <w:bCs/>
          <w:color w:val="FF0000"/>
          <w:sz w:val="32"/>
        </w:rPr>
      </w:pPr>
      <w:r>
        <w:rPr>
          <w:rFonts w:hint="eastAsia" w:ascii="黑体" w:hAnsi="宋体" w:eastAsia="黑体"/>
          <w:b/>
          <w:bCs/>
          <w:color w:val="FF0000"/>
          <w:sz w:val="32"/>
        </w:rPr>
        <w:t>关于控股股东部分股份解除质押的公告</w:t>
      </w:r>
    </w:p>
    <w:p w14:paraId="4173835D">
      <w:pPr>
        <w:autoSpaceDE w:val="0"/>
        <w:autoSpaceDN w:val="0"/>
        <w:adjustRightInd w:val="0"/>
        <w:spacing w:line="360" w:lineRule="auto"/>
        <w:ind w:firstLine="482" w:firstLineChars="200"/>
        <w:rPr>
          <w:rFonts w:hint="eastAsia" w:ascii="ˎ̥" w:hAnsi="ˎ̥"/>
          <w:b/>
          <w:sz w:val="24"/>
        </w:rPr>
      </w:pPr>
    </w:p>
    <w:p w14:paraId="14D70CC9">
      <w:pPr>
        <w:autoSpaceDE w:val="0"/>
        <w:autoSpaceDN w:val="0"/>
        <w:adjustRightInd w:val="0"/>
        <w:spacing w:line="360" w:lineRule="auto"/>
        <w:ind w:firstLine="482" w:firstLineChars="200"/>
        <w:rPr>
          <w:rFonts w:hint="eastAsia" w:ascii="ˎ̥" w:hAnsi="ˎ̥"/>
          <w:b/>
          <w:sz w:val="24"/>
        </w:rPr>
      </w:pPr>
      <w:r>
        <w:rPr>
          <w:rFonts w:hint="eastAsia" w:ascii="ˎ̥" w:hAnsi="ˎ̥"/>
          <w:b/>
          <w:sz w:val="24"/>
        </w:rPr>
        <w:t>本公司董事会及董事会全体成员保证公告内容不存在虚假记载、误导性陈述或者重大遗漏，并对其内容的真实、准确和完整承担法律责任。</w:t>
      </w:r>
    </w:p>
    <w:p w14:paraId="0DE8DFD5">
      <w:pPr>
        <w:spacing w:line="420" w:lineRule="exact"/>
        <w:rPr>
          <w:rFonts w:ascii="宋体" w:cs="宋体"/>
          <w:color w:val="000000"/>
          <w:kern w:val="0"/>
          <w:sz w:val="24"/>
        </w:rPr>
      </w:pPr>
    </w:p>
    <w:p w14:paraId="6B4BD936">
      <w:pPr>
        <w:autoSpaceDE w:val="0"/>
        <w:autoSpaceDN w:val="0"/>
        <w:adjustRightInd w:val="0"/>
        <w:spacing w:line="360" w:lineRule="auto"/>
        <w:ind w:firstLine="482" w:firstLineChars="200"/>
        <w:rPr>
          <w:rFonts w:hint="eastAsia" w:ascii="宋体" w:hAnsi="宋体"/>
          <w:b/>
          <w:sz w:val="24"/>
        </w:rPr>
      </w:pPr>
      <w:r>
        <w:rPr>
          <w:rFonts w:hint="eastAsia" w:ascii="宋体" w:hAnsi="宋体"/>
          <w:b/>
          <w:sz w:val="24"/>
        </w:rPr>
        <w:t>重要内容提示：</w:t>
      </w:r>
    </w:p>
    <w:p w14:paraId="0F20AA61">
      <w:pPr>
        <w:numPr>
          <w:ilvl w:val="0"/>
          <w:numId w:val="1"/>
        </w:numPr>
        <w:adjustRightInd w:val="0"/>
        <w:snapToGrid w:val="0"/>
        <w:spacing w:line="360" w:lineRule="auto"/>
        <w:ind w:left="0" w:firstLine="480" w:firstLineChars="200"/>
        <w:rPr>
          <w:rFonts w:hint="eastAsia" w:ascii="宋体" w:hAnsi="宋体"/>
          <w:color w:val="000000"/>
          <w:sz w:val="24"/>
        </w:rPr>
      </w:pPr>
      <w:r>
        <w:rPr>
          <w:rFonts w:hint="eastAsia" w:ascii="宋体" w:hAnsi="宋体"/>
          <w:color w:val="000000"/>
          <w:sz w:val="24"/>
        </w:rPr>
        <w:t>截至本公告披露日，江苏吴中医药发展股份有限公司（以下简称“公司”）控股股东苏州吴中投资控股有限公司（以下简称“控股股东”）持有公司122,795,762股股份（均为无限售流通股），占公司总股本的17.24%。</w:t>
      </w:r>
    </w:p>
    <w:p w14:paraId="3F6C8630">
      <w:pPr>
        <w:numPr>
          <w:ilvl w:val="0"/>
          <w:numId w:val="1"/>
        </w:numPr>
        <w:adjustRightInd w:val="0"/>
        <w:snapToGrid w:val="0"/>
        <w:spacing w:line="360" w:lineRule="auto"/>
        <w:ind w:left="0" w:firstLine="480" w:firstLineChars="200"/>
        <w:rPr>
          <w:rFonts w:hint="eastAsia" w:ascii="宋体" w:hAnsi="宋体"/>
          <w:color w:val="000000"/>
          <w:sz w:val="24"/>
        </w:rPr>
      </w:pPr>
      <w:r>
        <w:rPr>
          <w:rFonts w:hint="eastAsia" w:ascii="宋体" w:hAnsi="宋体"/>
          <w:color w:val="000000"/>
          <w:sz w:val="24"/>
        </w:rPr>
        <w:t>本次部分股份解除质押后，控股股东累计质押</w:t>
      </w:r>
      <w:r>
        <w:rPr>
          <w:rFonts w:hint="eastAsia" w:ascii="宋体" w:hAnsi="宋体"/>
          <w:color w:val="000000"/>
          <w:sz w:val="24"/>
          <w:highlight w:val="none"/>
        </w:rPr>
        <w:t>股份数量84</w:t>
      </w:r>
      <w:r>
        <w:rPr>
          <w:rFonts w:hint="eastAsia" w:ascii="宋体" w:hAnsi="宋体"/>
          <w:color w:val="000000"/>
          <w:sz w:val="24"/>
          <w:highlight w:val="none"/>
          <w:lang w:val="en-US" w:eastAsia="zh-CN"/>
        </w:rPr>
        <w:t>,</w:t>
      </w:r>
      <w:r>
        <w:rPr>
          <w:rFonts w:hint="eastAsia" w:ascii="宋体" w:hAnsi="宋体"/>
          <w:color w:val="000000"/>
          <w:sz w:val="24"/>
          <w:highlight w:val="none"/>
        </w:rPr>
        <w:t>550</w:t>
      </w:r>
      <w:r>
        <w:rPr>
          <w:rFonts w:hint="eastAsia" w:ascii="宋体" w:hAnsi="宋体"/>
          <w:color w:val="000000"/>
          <w:sz w:val="24"/>
          <w:highlight w:val="none"/>
          <w:lang w:val="en-US" w:eastAsia="zh-CN"/>
        </w:rPr>
        <w:t>,</w:t>
      </w:r>
      <w:r>
        <w:rPr>
          <w:rFonts w:hint="eastAsia" w:ascii="宋体" w:hAnsi="宋体"/>
          <w:color w:val="000000"/>
          <w:sz w:val="24"/>
          <w:highlight w:val="none"/>
        </w:rPr>
        <w:t>000股，占其持有公司股份总数的68.85%，占公司总股本的11.87%。</w:t>
      </w:r>
    </w:p>
    <w:p w14:paraId="7ADF0EF7">
      <w:pPr>
        <w:spacing w:line="420" w:lineRule="exact"/>
        <w:rPr>
          <w:rFonts w:ascii="宋体" w:cs="宋体"/>
          <w:color w:val="000000"/>
          <w:kern w:val="0"/>
          <w:sz w:val="24"/>
        </w:rPr>
      </w:pPr>
    </w:p>
    <w:p w14:paraId="50731622">
      <w:pPr>
        <w:spacing w:line="360" w:lineRule="auto"/>
        <w:ind w:firstLine="482" w:firstLineChars="200"/>
        <w:rPr>
          <w:rFonts w:hint="eastAsia" w:asciiTheme="minorEastAsia" w:hAnsiTheme="minorEastAsia" w:eastAsiaTheme="minorEastAsia" w:cstheme="minorEastAsia"/>
          <w:b/>
          <w:color w:val="000000"/>
          <w:kern w:val="0"/>
          <w:sz w:val="24"/>
        </w:rPr>
      </w:pPr>
      <w:r>
        <w:rPr>
          <w:rFonts w:hint="eastAsia" w:asciiTheme="minorEastAsia" w:hAnsiTheme="minorEastAsia" w:eastAsiaTheme="minorEastAsia" w:cstheme="minorEastAsia"/>
          <w:b/>
          <w:color w:val="000000"/>
          <w:kern w:val="0"/>
          <w:sz w:val="24"/>
        </w:rPr>
        <w:t>一、本次部分股份解除质押的情况</w:t>
      </w:r>
    </w:p>
    <w:p w14:paraId="6C1EEB2A">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公司于2024年10月</w:t>
      </w:r>
      <w:r>
        <w:rPr>
          <w:rFonts w:hint="eastAsia" w:asciiTheme="minorEastAsia" w:hAnsiTheme="minorEastAsia" w:eastAsiaTheme="minorEastAsia" w:cstheme="minorEastAsia"/>
          <w:sz w:val="24"/>
          <w:highlight w:val="none"/>
        </w:rPr>
        <w:t>1</w:t>
      </w:r>
      <w:r>
        <w:rPr>
          <w:rFonts w:hint="eastAsia" w:asciiTheme="minorEastAsia" w:hAnsiTheme="minorEastAsia" w:eastAsiaTheme="minorEastAsia" w:cstheme="minorEastAsia"/>
          <w:sz w:val="24"/>
          <w:highlight w:val="none"/>
          <w:lang w:val="en-US" w:eastAsia="zh-CN"/>
        </w:rPr>
        <w:t>8</w:t>
      </w:r>
      <w:r>
        <w:rPr>
          <w:rFonts w:hint="eastAsia" w:asciiTheme="minorEastAsia" w:hAnsiTheme="minorEastAsia" w:eastAsiaTheme="minorEastAsia" w:cstheme="minorEastAsia"/>
          <w:sz w:val="24"/>
        </w:rPr>
        <w:t>日收到控股股东苏州吴中投资控股有限公司关于部分股份解除质押的通知，控股股东将质押</w:t>
      </w:r>
      <w:r>
        <w:rPr>
          <w:rFonts w:hint="eastAsia" w:asciiTheme="minorEastAsia" w:hAnsiTheme="minorEastAsia" w:eastAsiaTheme="minorEastAsia" w:cstheme="minorEastAsia"/>
          <w:sz w:val="24"/>
          <w:highlight w:val="none"/>
        </w:rPr>
        <w:t>给浙江理想小额贷款有限公司</w:t>
      </w:r>
      <w:r>
        <w:rPr>
          <w:rFonts w:hint="eastAsia" w:asciiTheme="minorEastAsia" w:hAnsiTheme="minorEastAsia" w:eastAsiaTheme="minorEastAsia" w:cstheme="minorEastAsia"/>
          <w:sz w:val="24"/>
        </w:rPr>
        <w:t>的9,900,000股股份办理了质押解除手续。具体情况如下：</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4"/>
        <w:gridCol w:w="3732"/>
      </w:tblGrid>
      <w:tr w14:paraId="37FE6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4" w:type="dxa"/>
            <w:vAlign w:val="center"/>
          </w:tcPr>
          <w:p w14:paraId="32330DA4">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股东名称</w:t>
            </w:r>
          </w:p>
        </w:tc>
        <w:tc>
          <w:tcPr>
            <w:tcW w:w="3732" w:type="dxa"/>
            <w:vAlign w:val="center"/>
          </w:tcPr>
          <w:p w14:paraId="0C45380C">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苏州吴中投资控股有限公司</w:t>
            </w:r>
          </w:p>
        </w:tc>
      </w:tr>
      <w:tr w14:paraId="30030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4" w:type="dxa"/>
            <w:vAlign w:val="center"/>
          </w:tcPr>
          <w:p w14:paraId="634D09CC">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本次解质股份</w:t>
            </w:r>
          </w:p>
        </w:tc>
        <w:tc>
          <w:tcPr>
            <w:tcW w:w="3732" w:type="dxa"/>
            <w:vAlign w:val="center"/>
          </w:tcPr>
          <w:p w14:paraId="340E2BEB">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9,900,000股</w:t>
            </w:r>
          </w:p>
        </w:tc>
      </w:tr>
      <w:tr w14:paraId="465DF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4" w:type="dxa"/>
            <w:vAlign w:val="center"/>
          </w:tcPr>
          <w:p w14:paraId="1A3739DC">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占其所持股份比例</w:t>
            </w:r>
          </w:p>
        </w:tc>
        <w:tc>
          <w:tcPr>
            <w:tcW w:w="3732" w:type="dxa"/>
            <w:vAlign w:val="center"/>
          </w:tcPr>
          <w:p w14:paraId="5F0558F5">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8.06%</w:t>
            </w:r>
          </w:p>
        </w:tc>
      </w:tr>
      <w:tr w14:paraId="751CD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4" w:type="dxa"/>
            <w:vAlign w:val="center"/>
          </w:tcPr>
          <w:p w14:paraId="35897BB1">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占公司总股本比例</w:t>
            </w:r>
          </w:p>
        </w:tc>
        <w:tc>
          <w:tcPr>
            <w:tcW w:w="3732" w:type="dxa"/>
            <w:vAlign w:val="center"/>
          </w:tcPr>
          <w:p w14:paraId="59F4D958">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1.39%</w:t>
            </w:r>
          </w:p>
        </w:tc>
      </w:tr>
      <w:tr w14:paraId="5F5EF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4" w:type="dxa"/>
            <w:vAlign w:val="center"/>
          </w:tcPr>
          <w:p w14:paraId="54B748E5">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解质时间</w:t>
            </w:r>
          </w:p>
        </w:tc>
        <w:tc>
          <w:tcPr>
            <w:tcW w:w="3732" w:type="dxa"/>
            <w:vAlign w:val="center"/>
          </w:tcPr>
          <w:p w14:paraId="709C5298">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2024年10月17日</w:t>
            </w:r>
          </w:p>
        </w:tc>
      </w:tr>
      <w:tr w14:paraId="0D180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4" w:type="dxa"/>
            <w:vAlign w:val="center"/>
          </w:tcPr>
          <w:p w14:paraId="0169AD92">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持股数量</w:t>
            </w:r>
          </w:p>
        </w:tc>
        <w:tc>
          <w:tcPr>
            <w:tcW w:w="3732" w:type="dxa"/>
            <w:vAlign w:val="center"/>
          </w:tcPr>
          <w:p w14:paraId="58C8A71E">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122,795,762股</w:t>
            </w:r>
          </w:p>
        </w:tc>
      </w:tr>
      <w:tr w14:paraId="013A4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4" w:type="dxa"/>
            <w:vAlign w:val="center"/>
          </w:tcPr>
          <w:p w14:paraId="55B8ACA1">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持股比例</w:t>
            </w:r>
          </w:p>
        </w:tc>
        <w:tc>
          <w:tcPr>
            <w:tcW w:w="3732" w:type="dxa"/>
            <w:vAlign w:val="center"/>
          </w:tcPr>
          <w:p w14:paraId="424A7B84">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17.24%</w:t>
            </w:r>
          </w:p>
        </w:tc>
      </w:tr>
      <w:tr w14:paraId="770EC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4" w:type="dxa"/>
            <w:vAlign w:val="center"/>
          </w:tcPr>
          <w:p w14:paraId="5E5DEA41">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剩余被质押股份数量</w:t>
            </w:r>
          </w:p>
        </w:tc>
        <w:tc>
          <w:tcPr>
            <w:tcW w:w="3732" w:type="dxa"/>
            <w:vAlign w:val="center"/>
          </w:tcPr>
          <w:p w14:paraId="22E9B66C">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84,550,000股</w:t>
            </w:r>
          </w:p>
        </w:tc>
      </w:tr>
      <w:tr w14:paraId="01751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4" w:type="dxa"/>
            <w:vAlign w:val="center"/>
          </w:tcPr>
          <w:p w14:paraId="246D177B">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剩余被质押股份数量占其所持股份比例</w:t>
            </w:r>
          </w:p>
        </w:tc>
        <w:tc>
          <w:tcPr>
            <w:tcW w:w="3732" w:type="dxa"/>
            <w:vAlign w:val="center"/>
          </w:tcPr>
          <w:p w14:paraId="0DC3FE4D">
            <w:pPr>
              <w:spacing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68.85%</w:t>
            </w:r>
          </w:p>
        </w:tc>
      </w:tr>
      <w:tr w14:paraId="1B2BF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4" w:type="dxa"/>
            <w:vAlign w:val="center"/>
          </w:tcPr>
          <w:p w14:paraId="740B9D99">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剩余被质押股份数量占公司总股本比例</w:t>
            </w:r>
          </w:p>
        </w:tc>
        <w:tc>
          <w:tcPr>
            <w:tcW w:w="3732" w:type="dxa"/>
            <w:vAlign w:val="center"/>
          </w:tcPr>
          <w:p w14:paraId="23908FE2">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highlight w:val="none"/>
                <w:shd w:val="clear"/>
              </w:rPr>
              <w:t>11.87%</w:t>
            </w:r>
          </w:p>
        </w:tc>
      </w:tr>
    </w:tbl>
    <w:p w14:paraId="762BBAD6">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经与控股股东确认，本次解除质押的股份目前暂无用于后续质押的计划。未来如有变动，公司将根据后续质押情况和相关法律法规要求及时履行信息披露义务。</w:t>
      </w:r>
    </w:p>
    <w:p w14:paraId="23172563">
      <w:pPr>
        <w:spacing w:line="360" w:lineRule="auto"/>
        <w:ind w:firstLine="480" w:firstLineChars="200"/>
        <w:rPr>
          <w:rFonts w:hint="eastAsia" w:asciiTheme="minorEastAsia" w:hAnsiTheme="minorEastAsia" w:eastAsiaTheme="minorEastAsia" w:cstheme="minorEastAsia"/>
          <w:sz w:val="24"/>
        </w:rPr>
      </w:pPr>
    </w:p>
    <w:p w14:paraId="4B222262">
      <w:pPr>
        <w:spacing w:line="360" w:lineRule="auto"/>
        <w:ind w:firstLine="482" w:firstLineChars="20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二、截至本公告披露日，控股股东累计质押情况</w:t>
      </w:r>
    </w:p>
    <w:p w14:paraId="6817D514">
      <w:pPr>
        <w:adjustRightInd w:val="0"/>
        <w:snapToGrid w:val="0"/>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cstheme="minorEastAsia"/>
          <w:sz w:val="24"/>
        </w:rPr>
        <w:t>截至公告披露日，控股股东累计质押股份情况如下：</w:t>
      </w:r>
    </w:p>
    <w:tbl>
      <w:tblPr>
        <w:tblStyle w:val="6"/>
        <w:tblW w:w="64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1"/>
        <w:gridCol w:w="1371"/>
        <w:gridCol w:w="846"/>
        <w:gridCol w:w="1502"/>
        <w:gridCol w:w="1266"/>
        <w:gridCol w:w="846"/>
        <w:gridCol w:w="846"/>
        <w:gridCol w:w="923"/>
        <w:gridCol w:w="801"/>
        <w:gridCol w:w="806"/>
        <w:gridCol w:w="854"/>
      </w:tblGrid>
      <w:tr w14:paraId="243B1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469" w:type="pct"/>
            <w:vMerge w:val="restart"/>
            <w:tcBorders>
              <w:top w:val="single" w:color="auto" w:sz="4" w:space="0"/>
              <w:left w:val="single" w:color="auto" w:sz="4" w:space="0"/>
              <w:right w:val="single" w:color="auto" w:sz="4" w:space="0"/>
            </w:tcBorders>
            <w:vAlign w:val="center"/>
          </w:tcPr>
          <w:p w14:paraId="770CDBEE">
            <w:pPr>
              <w:jc w:val="center"/>
              <w:rPr>
                <w:rFonts w:hint="eastAsia" w:asciiTheme="minorEastAsia" w:hAnsiTheme="minorEastAsia" w:eastAsiaTheme="minorEastAsia"/>
                <w:szCs w:val="21"/>
              </w:rPr>
            </w:pPr>
            <w:r>
              <w:rPr>
                <w:rFonts w:hint="eastAsia" w:asciiTheme="minorEastAsia" w:hAnsiTheme="minorEastAsia" w:eastAsiaTheme="minorEastAsia"/>
                <w:szCs w:val="21"/>
              </w:rPr>
              <w:t>股东</w:t>
            </w:r>
          </w:p>
          <w:p w14:paraId="1203C4FA">
            <w:pPr>
              <w:jc w:val="center"/>
              <w:rPr>
                <w:rFonts w:hint="eastAsia" w:asciiTheme="minorEastAsia" w:hAnsiTheme="minorEastAsia" w:eastAsiaTheme="minorEastAsia"/>
                <w:szCs w:val="21"/>
              </w:rPr>
            </w:pPr>
            <w:r>
              <w:rPr>
                <w:rFonts w:hint="eastAsia" w:asciiTheme="minorEastAsia" w:hAnsiTheme="minorEastAsia" w:eastAsiaTheme="minorEastAsia"/>
                <w:szCs w:val="21"/>
              </w:rPr>
              <w:t>名称</w:t>
            </w:r>
          </w:p>
        </w:tc>
        <w:tc>
          <w:tcPr>
            <w:tcW w:w="619" w:type="pct"/>
            <w:vMerge w:val="restart"/>
            <w:tcBorders>
              <w:top w:val="single" w:color="auto" w:sz="4" w:space="0"/>
              <w:left w:val="single" w:color="auto" w:sz="4" w:space="0"/>
              <w:right w:val="single" w:color="auto" w:sz="4" w:space="0"/>
            </w:tcBorders>
            <w:vAlign w:val="center"/>
          </w:tcPr>
          <w:p w14:paraId="49A5B9FA">
            <w:pPr>
              <w:jc w:val="center"/>
              <w:rPr>
                <w:rFonts w:hint="eastAsia" w:asciiTheme="minorEastAsia" w:hAnsiTheme="minorEastAsia" w:eastAsiaTheme="minorEastAsia"/>
                <w:szCs w:val="21"/>
              </w:rPr>
            </w:pPr>
            <w:r>
              <w:rPr>
                <w:rFonts w:hint="eastAsia" w:asciiTheme="minorEastAsia" w:hAnsiTheme="minorEastAsia" w:eastAsiaTheme="minorEastAsia"/>
                <w:szCs w:val="21"/>
              </w:rPr>
              <w:t>持股数量(股)</w:t>
            </w:r>
          </w:p>
        </w:tc>
        <w:tc>
          <w:tcPr>
            <w:tcW w:w="382" w:type="pct"/>
            <w:vMerge w:val="restart"/>
            <w:tcBorders>
              <w:top w:val="single" w:color="auto" w:sz="4" w:space="0"/>
              <w:left w:val="single" w:color="auto" w:sz="4" w:space="0"/>
              <w:right w:val="single" w:color="auto" w:sz="4" w:space="0"/>
            </w:tcBorders>
            <w:vAlign w:val="center"/>
          </w:tcPr>
          <w:p w14:paraId="2940E160">
            <w:pPr>
              <w:jc w:val="center"/>
              <w:rPr>
                <w:rFonts w:hint="eastAsia" w:asciiTheme="minorEastAsia" w:hAnsiTheme="minorEastAsia" w:eastAsiaTheme="minorEastAsia"/>
                <w:szCs w:val="21"/>
              </w:rPr>
            </w:pPr>
            <w:r>
              <w:rPr>
                <w:rFonts w:hint="eastAsia" w:asciiTheme="minorEastAsia" w:hAnsiTheme="minorEastAsia" w:eastAsiaTheme="minorEastAsia"/>
                <w:szCs w:val="21"/>
              </w:rPr>
              <w:t>持股比例</w:t>
            </w:r>
          </w:p>
        </w:tc>
        <w:tc>
          <w:tcPr>
            <w:tcW w:w="691" w:type="pct"/>
            <w:vMerge w:val="restart"/>
            <w:tcBorders>
              <w:top w:val="single" w:color="auto" w:sz="4" w:space="0"/>
              <w:left w:val="single" w:color="auto" w:sz="4" w:space="0"/>
              <w:right w:val="single" w:color="auto" w:sz="4" w:space="0"/>
            </w:tcBorders>
            <w:vAlign w:val="center"/>
          </w:tcPr>
          <w:p w14:paraId="1337A241">
            <w:pPr>
              <w:jc w:val="center"/>
              <w:rPr>
                <w:rFonts w:hint="eastAsia" w:asciiTheme="minorEastAsia" w:hAnsiTheme="minorEastAsia" w:eastAsiaTheme="minorEastAsia"/>
                <w:szCs w:val="21"/>
              </w:rPr>
            </w:pPr>
            <w:r>
              <w:rPr>
                <w:rFonts w:hint="eastAsia" w:asciiTheme="minorEastAsia" w:hAnsiTheme="minorEastAsia" w:eastAsiaTheme="minorEastAsia"/>
                <w:szCs w:val="21"/>
              </w:rPr>
              <w:t>本次解质押前累计质押数量(股)</w:t>
            </w:r>
          </w:p>
        </w:tc>
        <w:tc>
          <w:tcPr>
            <w:tcW w:w="498" w:type="pct"/>
            <w:vMerge w:val="restart"/>
            <w:tcBorders>
              <w:top w:val="single" w:color="auto" w:sz="4" w:space="0"/>
              <w:left w:val="single" w:color="auto" w:sz="4" w:space="0"/>
              <w:right w:val="single" w:color="auto" w:sz="4" w:space="0"/>
            </w:tcBorders>
            <w:vAlign w:val="center"/>
          </w:tcPr>
          <w:p w14:paraId="6D9A642B">
            <w:pPr>
              <w:jc w:val="center"/>
              <w:rPr>
                <w:rFonts w:hint="eastAsia" w:asciiTheme="minorEastAsia" w:hAnsiTheme="minorEastAsia" w:eastAsiaTheme="minorEastAsia"/>
                <w:szCs w:val="21"/>
              </w:rPr>
            </w:pPr>
            <w:r>
              <w:rPr>
                <w:rFonts w:hint="eastAsia" w:asciiTheme="minorEastAsia" w:hAnsiTheme="minorEastAsia" w:eastAsiaTheme="minorEastAsia"/>
                <w:szCs w:val="21"/>
              </w:rPr>
              <w:t>本次解质押后累计质押数量(股)</w:t>
            </w:r>
          </w:p>
        </w:tc>
        <w:tc>
          <w:tcPr>
            <w:tcW w:w="382" w:type="pct"/>
            <w:vMerge w:val="restart"/>
            <w:tcBorders>
              <w:top w:val="single" w:color="auto" w:sz="4" w:space="0"/>
              <w:left w:val="single" w:color="auto" w:sz="4" w:space="0"/>
              <w:right w:val="single" w:color="auto" w:sz="4" w:space="0"/>
            </w:tcBorders>
            <w:vAlign w:val="center"/>
          </w:tcPr>
          <w:p w14:paraId="580722FD">
            <w:pPr>
              <w:jc w:val="center"/>
              <w:rPr>
                <w:rFonts w:hint="eastAsia" w:asciiTheme="minorEastAsia" w:hAnsiTheme="minorEastAsia" w:eastAsiaTheme="minorEastAsia"/>
                <w:szCs w:val="21"/>
              </w:rPr>
            </w:pPr>
            <w:r>
              <w:rPr>
                <w:rFonts w:hint="eastAsia" w:asciiTheme="minorEastAsia" w:hAnsiTheme="minorEastAsia" w:eastAsiaTheme="minorEastAsia"/>
                <w:szCs w:val="21"/>
              </w:rPr>
              <w:t>占其所持股份比例</w:t>
            </w:r>
          </w:p>
        </w:tc>
        <w:tc>
          <w:tcPr>
            <w:tcW w:w="382" w:type="pct"/>
            <w:vMerge w:val="restart"/>
            <w:tcBorders>
              <w:top w:val="single" w:color="auto" w:sz="4" w:space="0"/>
              <w:left w:val="single" w:color="auto" w:sz="4" w:space="0"/>
              <w:right w:val="single" w:color="auto" w:sz="4" w:space="0"/>
            </w:tcBorders>
            <w:vAlign w:val="center"/>
          </w:tcPr>
          <w:p w14:paraId="7C139DD4">
            <w:pPr>
              <w:jc w:val="center"/>
              <w:rPr>
                <w:rFonts w:hint="eastAsia" w:asciiTheme="minorEastAsia" w:hAnsiTheme="minorEastAsia" w:eastAsiaTheme="minorEastAsia"/>
                <w:szCs w:val="21"/>
              </w:rPr>
            </w:pPr>
            <w:r>
              <w:rPr>
                <w:rFonts w:hint="eastAsia" w:asciiTheme="minorEastAsia" w:hAnsiTheme="minorEastAsia" w:eastAsiaTheme="minorEastAsia"/>
                <w:szCs w:val="21"/>
              </w:rPr>
              <w:t>占公司总股本比例</w:t>
            </w:r>
          </w:p>
        </w:tc>
        <w:tc>
          <w:tcPr>
            <w:tcW w:w="803" w:type="pct"/>
            <w:gridSpan w:val="2"/>
            <w:tcBorders>
              <w:top w:val="single" w:color="auto" w:sz="4" w:space="0"/>
              <w:left w:val="single" w:color="auto" w:sz="4" w:space="0"/>
              <w:bottom w:val="single" w:color="auto" w:sz="4" w:space="0"/>
              <w:right w:val="single" w:color="auto" w:sz="4" w:space="0"/>
            </w:tcBorders>
            <w:vAlign w:val="center"/>
          </w:tcPr>
          <w:p w14:paraId="3B2DD910">
            <w:pPr>
              <w:jc w:val="center"/>
              <w:rPr>
                <w:rFonts w:hint="eastAsia" w:asciiTheme="minorEastAsia" w:hAnsiTheme="minorEastAsia" w:eastAsiaTheme="minorEastAsia"/>
                <w:szCs w:val="21"/>
              </w:rPr>
            </w:pPr>
            <w:r>
              <w:rPr>
                <w:rFonts w:hint="eastAsia" w:asciiTheme="minorEastAsia" w:hAnsiTheme="minorEastAsia" w:eastAsiaTheme="minorEastAsia"/>
                <w:szCs w:val="21"/>
              </w:rPr>
              <w:t>已质押股份情况</w:t>
            </w:r>
          </w:p>
        </w:tc>
        <w:tc>
          <w:tcPr>
            <w:tcW w:w="774" w:type="pct"/>
            <w:gridSpan w:val="2"/>
            <w:tcBorders>
              <w:top w:val="single" w:color="auto" w:sz="4" w:space="0"/>
              <w:left w:val="single" w:color="auto" w:sz="4" w:space="0"/>
              <w:right w:val="single" w:color="auto" w:sz="4" w:space="0"/>
            </w:tcBorders>
            <w:vAlign w:val="center"/>
          </w:tcPr>
          <w:p w14:paraId="350939C5">
            <w:pPr>
              <w:jc w:val="center"/>
              <w:rPr>
                <w:rFonts w:hint="eastAsia" w:asciiTheme="minorEastAsia" w:hAnsiTheme="minorEastAsia" w:eastAsiaTheme="minorEastAsia"/>
                <w:szCs w:val="21"/>
              </w:rPr>
            </w:pPr>
            <w:r>
              <w:rPr>
                <w:rFonts w:hint="eastAsia" w:asciiTheme="minorEastAsia" w:hAnsiTheme="minorEastAsia" w:eastAsiaTheme="minorEastAsia"/>
                <w:szCs w:val="21"/>
              </w:rPr>
              <w:t>未质押股份情况</w:t>
            </w:r>
          </w:p>
        </w:tc>
      </w:tr>
      <w:tr w14:paraId="5E01A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469" w:type="pct"/>
            <w:vMerge w:val="continue"/>
            <w:tcBorders>
              <w:left w:val="single" w:color="auto" w:sz="4" w:space="0"/>
              <w:bottom w:val="single" w:color="auto" w:sz="4" w:space="0"/>
              <w:right w:val="single" w:color="auto" w:sz="4" w:space="0"/>
            </w:tcBorders>
            <w:vAlign w:val="center"/>
          </w:tcPr>
          <w:p w14:paraId="17BAA93A">
            <w:pPr>
              <w:jc w:val="center"/>
              <w:rPr>
                <w:rFonts w:hint="eastAsia" w:asciiTheme="minorEastAsia" w:hAnsiTheme="minorEastAsia" w:eastAsiaTheme="minorEastAsia"/>
                <w:szCs w:val="21"/>
              </w:rPr>
            </w:pPr>
          </w:p>
        </w:tc>
        <w:tc>
          <w:tcPr>
            <w:tcW w:w="619" w:type="pct"/>
            <w:vMerge w:val="continue"/>
            <w:tcBorders>
              <w:left w:val="single" w:color="auto" w:sz="4" w:space="0"/>
              <w:bottom w:val="single" w:color="auto" w:sz="4" w:space="0"/>
              <w:right w:val="single" w:color="auto" w:sz="4" w:space="0"/>
            </w:tcBorders>
            <w:vAlign w:val="center"/>
          </w:tcPr>
          <w:p w14:paraId="163FFD11">
            <w:pPr>
              <w:jc w:val="center"/>
              <w:rPr>
                <w:rFonts w:hint="eastAsia" w:asciiTheme="minorEastAsia" w:hAnsiTheme="minorEastAsia" w:eastAsiaTheme="minorEastAsia"/>
                <w:szCs w:val="21"/>
              </w:rPr>
            </w:pPr>
          </w:p>
        </w:tc>
        <w:tc>
          <w:tcPr>
            <w:tcW w:w="382" w:type="pct"/>
            <w:vMerge w:val="continue"/>
            <w:tcBorders>
              <w:left w:val="single" w:color="auto" w:sz="4" w:space="0"/>
              <w:bottom w:val="single" w:color="auto" w:sz="4" w:space="0"/>
              <w:right w:val="single" w:color="auto" w:sz="4" w:space="0"/>
            </w:tcBorders>
            <w:vAlign w:val="center"/>
          </w:tcPr>
          <w:p w14:paraId="361CB842">
            <w:pPr>
              <w:jc w:val="center"/>
              <w:rPr>
                <w:rFonts w:hint="eastAsia" w:asciiTheme="minorEastAsia" w:hAnsiTheme="minorEastAsia" w:eastAsiaTheme="minorEastAsia"/>
                <w:szCs w:val="21"/>
              </w:rPr>
            </w:pPr>
          </w:p>
        </w:tc>
        <w:tc>
          <w:tcPr>
            <w:tcW w:w="691" w:type="pct"/>
            <w:vMerge w:val="continue"/>
            <w:tcBorders>
              <w:left w:val="single" w:color="auto" w:sz="4" w:space="0"/>
              <w:bottom w:val="single" w:color="auto" w:sz="4" w:space="0"/>
              <w:right w:val="single" w:color="auto" w:sz="4" w:space="0"/>
            </w:tcBorders>
          </w:tcPr>
          <w:p w14:paraId="053D5768">
            <w:pPr>
              <w:jc w:val="center"/>
              <w:rPr>
                <w:rFonts w:hint="eastAsia" w:asciiTheme="minorEastAsia" w:hAnsiTheme="minorEastAsia" w:eastAsiaTheme="minorEastAsia"/>
                <w:szCs w:val="21"/>
              </w:rPr>
            </w:pPr>
          </w:p>
        </w:tc>
        <w:tc>
          <w:tcPr>
            <w:tcW w:w="498" w:type="pct"/>
            <w:vMerge w:val="continue"/>
            <w:tcBorders>
              <w:left w:val="single" w:color="auto" w:sz="4" w:space="0"/>
              <w:bottom w:val="single" w:color="auto" w:sz="4" w:space="0"/>
              <w:right w:val="single" w:color="auto" w:sz="4" w:space="0"/>
            </w:tcBorders>
            <w:vAlign w:val="center"/>
          </w:tcPr>
          <w:p w14:paraId="4A199113">
            <w:pPr>
              <w:jc w:val="center"/>
              <w:rPr>
                <w:rFonts w:hint="eastAsia" w:asciiTheme="minorEastAsia" w:hAnsiTheme="minorEastAsia" w:eastAsiaTheme="minorEastAsia"/>
                <w:szCs w:val="21"/>
              </w:rPr>
            </w:pPr>
          </w:p>
        </w:tc>
        <w:tc>
          <w:tcPr>
            <w:tcW w:w="382" w:type="pct"/>
            <w:vMerge w:val="continue"/>
            <w:tcBorders>
              <w:left w:val="single" w:color="auto" w:sz="4" w:space="0"/>
              <w:bottom w:val="single" w:color="auto" w:sz="4" w:space="0"/>
              <w:right w:val="single" w:color="auto" w:sz="4" w:space="0"/>
            </w:tcBorders>
            <w:vAlign w:val="center"/>
          </w:tcPr>
          <w:p w14:paraId="14DB6307">
            <w:pPr>
              <w:jc w:val="center"/>
              <w:rPr>
                <w:rFonts w:hint="eastAsia" w:asciiTheme="minorEastAsia" w:hAnsiTheme="minorEastAsia" w:eastAsiaTheme="minorEastAsia"/>
                <w:szCs w:val="21"/>
              </w:rPr>
            </w:pPr>
          </w:p>
        </w:tc>
        <w:tc>
          <w:tcPr>
            <w:tcW w:w="382" w:type="pct"/>
            <w:vMerge w:val="continue"/>
            <w:tcBorders>
              <w:left w:val="single" w:color="auto" w:sz="4" w:space="0"/>
              <w:bottom w:val="single" w:color="auto" w:sz="4" w:space="0"/>
              <w:right w:val="single" w:color="auto" w:sz="4" w:space="0"/>
            </w:tcBorders>
            <w:vAlign w:val="center"/>
          </w:tcPr>
          <w:p w14:paraId="30EA4BCF">
            <w:pPr>
              <w:jc w:val="center"/>
              <w:rPr>
                <w:rFonts w:hint="eastAsia" w:asciiTheme="minorEastAsia" w:hAnsiTheme="minorEastAsia" w:eastAsiaTheme="minorEastAsia"/>
                <w:szCs w:val="21"/>
              </w:rPr>
            </w:pPr>
          </w:p>
        </w:tc>
        <w:tc>
          <w:tcPr>
            <w:tcW w:w="429" w:type="pct"/>
            <w:tcBorders>
              <w:top w:val="single" w:color="auto" w:sz="4" w:space="0"/>
              <w:left w:val="single" w:color="auto" w:sz="4" w:space="0"/>
              <w:bottom w:val="single" w:color="auto" w:sz="4" w:space="0"/>
              <w:right w:val="single" w:color="auto" w:sz="4" w:space="0"/>
            </w:tcBorders>
            <w:vAlign w:val="center"/>
          </w:tcPr>
          <w:p w14:paraId="43A0F84A">
            <w:pPr>
              <w:jc w:val="center"/>
              <w:rPr>
                <w:rFonts w:hint="eastAsia" w:asciiTheme="minorEastAsia" w:hAnsiTheme="minorEastAsia" w:eastAsiaTheme="minorEastAsia"/>
                <w:szCs w:val="21"/>
              </w:rPr>
            </w:pPr>
            <w:r>
              <w:rPr>
                <w:rFonts w:hint="eastAsia" w:asciiTheme="minorEastAsia" w:hAnsiTheme="minorEastAsia" w:eastAsiaTheme="minorEastAsia"/>
                <w:szCs w:val="21"/>
              </w:rPr>
              <w:t>已质押股份中限售股份数量</w:t>
            </w:r>
          </w:p>
        </w:tc>
        <w:tc>
          <w:tcPr>
            <w:tcW w:w="374" w:type="pct"/>
            <w:tcBorders>
              <w:left w:val="single" w:color="auto" w:sz="4" w:space="0"/>
              <w:bottom w:val="single" w:color="auto" w:sz="4" w:space="0"/>
              <w:right w:val="single" w:color="auto" w:sz="4" w:space="0"/>
            </w:tcBorders>
            <w:vAlign w:val="center"/>
          </w:tcPr>
          <w:p w14:paraId="4F20324C">
            <w:pPr>
              <w:jc w:val="center"/>
              <w:rPr>
                <w:rFonts w:hint="eastAsia" w:asciiTheme="minorEastAsia" w:hAnsiTheme="minorEastAsia" w:eastAsiaTheme="minorEastAsia"/>
                <w:szCs w:val="21"/>
              </w:rPr>
            </w:pPr>
            <w:r>
              <w:rPr>
                <w:rFonts w:hint="eastAsia" w:asciiTheme="minorEastAsia" w:hAnsiTheme="minorEastAsia" w:eastAsiaTheme="minorEastAsia"/>
                <w:szCs w:val="21"/>
              </w:rPr>
              <w:t>已质押股份中冻结股份数量</w:t>
            </w:r>
          </w:p>
        </w:tc>
        <w:tc>
          <w:tcPr>
            <w:tcW w:w="376" w:type="pct"/>
            <w:tcBorders>
              <w:left w:val="single" w:color="auto" w:sz="4" w:space="0"/>
              <w:bottom w:val="single" w:color="auto" w:sz="4" w:space="0"/>
              <w:right w:val="single" w:color="auto" w:sz="4" w:space="0"/>
            </w:tcBorders>
            <w:vAlign w:val="center"/>
          </w:tcPr>
          <w:p w14:paraId="28E9E717">
            <w:pPr>
              <w:jc w:val="center"/>
              <w:rPr>
                <w:rFonts w:hint="eastAsia" w:asciiTheme="minorEastAsia" w:hAnsiTheme="minorEastAsia" w:eastAsiaTheme="minorEastAsia"/>
                <w:szCs w:val="21"/>
              </w:rPr>
            </w:pPr>
            <w:r>
              <w:rPr>
                <w:rFonts w:hint="eastAsia" w:asciiTheme="minorEastAsia" w:hAnsiTheme="minorEastAsia" w:eastAsiaTheme="minorEastAsia"/>
                <w:szCs w:val="21"/>
              </w:rPr>
              <w:t>未质押股份中限售股份数量</w:t>
            </w:r>
          </w:p>
        </w:tc>
        <w:tc>
          <w:tcPr>
            <w:tcW w:w="397" w:type="pct"/>
            <w:tcBorders>
              <w:left w:val="single" w:color="auto" w:sz="4" w:space="0"/>
              <w:bottom w:val="single" w:color="auto" w:sz="4" w:space="0"/>
              <w:right w:val="single" w:color="auto" w:sz="4" w:space="0"/>
            </w:tcBorders>
            <w:vAlign w:val="center"/>
          </w:tcPr>
          <w:p w14:paraId="483E1AC1">
            <w:pPr>
              <w:jc w:val="center"/>
              <w:rPr>
                <w:rFonts w:hint="eastAsia" w:asciiTheme="minorEastAsia" w:hAnsiTheme="minorEastAsia" w:eastAsiaTheme="minorEastAsia"/>
                <w:szCs w:val="21"/>
              </w:rPr>
            </w:pPr>
            <w:r>
              <w:rPr>
                <w:rFonts w:hint="eastAsia" w:asciiTheme="minorEastAsia" w:hAnsiTheme="minorEastAsia" w:eastAsiaTheme="minorEastAsia"/>
                <w:szCs w:val="21"/>
              </w:rPr>
              <w:t>未质押股份中冻结股份数量</w:t>
            </w:r>
          </w:p>
        </w:tc>
      </w:tr>
      <w:tr w14:paraId="0286E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1" w:hRule="atLeast"/>
          <w:jc w:val="center"/>
        </w:trPr>
        <w:tc>
          <w:tcPr>
            <w:tcW w:w="469" w:type="pct"/>
            <w:tcBorders>
              <w:top w:val="single" w:color="auto" w:sz="4" w:space="0"/>
              <w:left w:val="single" w:color="auto" w:sz="4" w:space="0"/>
              <w:bottom w:val="single" w:color="auto" w:sz="4" w:space="0"/>
              <w:right w:val="single" w:color="auto" w:sz="4" w:space="0"/>
            </w:tcBorders>
            <w:vAlign w:val="center"/>
          </w:tcPr>
          <w:p w14:paraId="3BD5BB24">
            <w:pPr>
              <w:widowControl/>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苏州吴中投资控股有限公司</w:t>
            </w:r>
          </w:p>
        </w:tc>
        <w:tc>
          <w:tcPr>
            <w:tcW w:w="619" w:type="pct"/>
            <w:tcBorders>
              <w:top w:val="single" w:color="auto" w:sz="4" w:space="0"/>
              <w:left w:val="single" w:color="auto" w:sz="4" w:space="0"/>
              <w:bottom w:val="single" w:color="auto" w:sz="4" w:space="0"/>
              <w:right w:val="single" w:color="auto" w:sz="4" w:space="0"/>
            </w:tcBorders>
            <w:vAlign w:val="center"/>
          </w:tcPr>
          <w:p w14:paraId="0A50A13F">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122,795,762</w:t>
            </w:r>
          </w:p>
        </w:tc>
        <w:tc>
          <w:tcPr>
            <w:tcW w:w="382" w:type="pct"/>
            <w:tcBorders>
              <w:top w:val="single" w:color="auto" w:sz="4" w:space="0"/>
              <w:left w:val="single" w:color="auto" w:sz="4" w:space="0"/>
              <w:bottom w:val="single" w:color="auto" w:sz="4" w:space="0"/>
              <w:right w:val="single" w:color="auto" w:sz="4" w:space="0"/>
            </w:tcBorders>
            <w:vAlign w:val="center"/>
          </w:tcPr>
          <w:p w14:paraId="5974979C">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17.24%</w:t>
            </w:r>
          </w:p>
        </w:tc>
        <w:tc>
          <w:tcPr>
            <w:tcW w:w="691" w:type="pct"/>
            <w:tcBorders>
              <w:top w:val="single" w:color="auto" w:sz="4" w:space="0"/>
              <w:left w:val="single" w:color="auto" w:sz="4" w:space="0"/>
              <w:bottom w:val="single" w:color="auto" w:sz="4" w:space="0"/>
              <w:right w:val="single" w:color="auto" w:sz="4" w:space="0"/>
            </w:tcBorders>
            <w:vAlign w:val="center"/>
          </w:tcPr>
          <w:p w14:paraId="70B6AD6D">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94,450,000</w:t>
            </w:r>
          </w:p>
        </w:tc>
        <w:tc>
          <w:tcPr>
            <w:tcW w:w="498" w:type="pct"/>
            <w:tcBorders>
              <w:top w:val="single" w:color="auto" w:sz="4" w:space="0"/>
              <w:left w:val="single" w:color="auto" w:sz="4" w:space="0"/>
              <w:bottom w:val="single" w:color="auto" w:sz="4" w:space="0"/>
              <w:right w:val="single" w:color="auto" w:sz="4" w:space="0"/>
            </w:tcBorders>
            <w:vAlign w:val="center"/>
          </w:tcPr>
          <w:p w14:paraId="76CD803C">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84,550,000</w:t>
            </w:r>
          </w:p>
        </w:tc>
        <w:tc>
          <w:tcPr>
            <w:tcW w:w="382" w:type="pct"/>
            <w:tcBorders>
              <w:top w:val="single" w:color="auto" w:sz="4" w:space="0"/>
              <w:left w:val="single" w:color="auto" w:sz="4" w:space="0"/>
              <w:bottom w:val="single" w:color="auto" w:sz="4" w:space="0"/>
              <w:right w:val="single" w:color="auto" w:sz="4" w:space="0"/>
            </w:tcBorders>
            <w:vAlign w:val="center"/>
          </w:tcPr>
          <w:p w14:paraId="4E8743CB">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68.85%</w:t>
            </w:r>
          </w:p>
        </w:tc>
        <w:tc>
          <w:tcPr>
            <w:tcW w:w="382" w:type="pct"/>
            <w:tcBorders>
              <w:top w:val="single" w:color="auto" w:sz="4" w:space="0"/>
              <w:left w:val="single" w:color="auto" w:sz="4" w:space="0"/>
              <w:bottom w:val="single" w:color="auto" w:sz="4" w:space="0"/>
              <w:right w:val="single" w:color="auto" w:sz="4" w:space="0"/>
            </w:tcBorders>
            <w:vAlign w:val="center"/>
          </w:tcPr>
          <w:p w14:paraId="67863DAB">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11.87%</w:t>
            </w:r>
          </w:p>
        </w:tc>
        <w:tc>
          <w:tcPr>
            <w:tcW w:w="429" w:type="pct"/>
            <w:tcBorders>
              <w:top w:val="single" w:color="auto" w:sz="4" w:space="0"/>
              <w:left w:val="single" w:color="auto" w:sz="4" w:space="0"/>
              <w:bottom w:val="single" w:color="auto" w:sz="4" w:space="0"/>
              <w:right w:val="single" w:color="auto" w:sz="4" w:space="0"/>
            </w:tcBorders>
            <w:vAlign w:val="center"/>
          </w:tcPr>
          <w:p w14:paraId="3E70BF54">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w:t>
            </w:r>
          </w:p>
        </w:tc>
        <w:tc>
          <w:tcPr>
            <w:tcW w:w="374" w:type="pct"/>
            <w:tcBorders>
              <w:top w:val="single" w:color="auto" w:sz="4" w:space="0"/>
              <w:left w:val="single" w:color="auto" w:sz="4" w:space="0"/>
              <w:bottom w:val="single" w:color="auto" w:sz="4" w:space="0"/>
              <w:right w:val="single" w:color="auto" w:sz="4" w:space="0"/>
            </w:tcBorders>
            <w:vAlign w:val="center"/>
          </w:tcPr>
          <w:p w14:paraId="05CCA11E">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w:t>
            </w:r>
          </w:p>
        </w:tc>
        <w:tc>
          <w:tcPr>
            <w:tcW w:w="376" w:type="pct"/>
            <w:tcBorders>
              <w:top w:val="single" w:color="auto" w:sz="4" w:space="0"/>
              <w:left w:val="single" w:color="auto" w:sz="4" w:space="0"/>
              <w:bottom w:val="single" w:color="auto" w:sz="4" w:space="0"/>
              <w:right w:val="single" w:color="auto" w:sz="4" w:space="0"/>
            </w:tcBorders>
            <w:vAlign w:val="center"/>
          </w:tcPr>
          <w:p w14:paraId="26B08E81">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w:t>
            </w:r>
          </w:p>
        </w:tc>
        <w:tc>
          <w:tcPr>
            <w:tcW w:w="397" w:type="pct"/>
            <w:tcBorders>
              <w:top w:val="single" w:color="auto" w:sz="4" w:space="0"/>
              <w:left w:val="single" w:color="auto" w:sz="4" w:space="0"/>
              <w:bottom w:val="single" w:color="auto" w:sz="4" w:space="0"/>
              <w:right w:val="single" w:color="auto" w:sz="4" w:space="0"/>
            </w:tcBorders>
            <w:vAlign w:val="center"/>
          </w:tcPr>
          <w:p w14:paraId="2EDFA33C">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w:t>
            </w:r>
          </w:p>
        </w:tc>
      </w:tr>
      <w:tr w14:paraId="430D5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469" w:type="pct"/>
            <w:tcBorders>
              <w:top w:val="single" w:color="auto" w:sz="4" w:space="0"/>
              <w:left w:val="single" w:color="auto" w:sz="4" w:space="0"/>
              <w:bottom w:val="single" w:color="auto" w:sz="4" w:space="0"/>
              <w:right w:val="single" w:color="auto" w:sz="4" w:space="0"/>
            </w:tcBorders>
            <w:vAlign w:val="center"/>
          </w:tcPr>
          <w:p w14:paraId="69580DF5">
            <w:pPr>
              <w:widowControl/>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合计</w:t>
            </w:r>
          </w:p>
        </w:tc>
        <w:tc>
          <w:tcPr>
            <w:tcW w:w="619" w:type="pct"/>
            <w:tcBorders>
              <w:top w:val="single" w:color="auto" w:sz="4" w:space="0"/>
              <w:left w:val="single" w:color="auto" w:sz="4" w:space="0"/>
              <w:bottom w:val="single" w:color="auto" w:sz="4" w:space="0"/>
              <w:right w:val="single" w:color="auto" w:sz="4" w:space="0"/>
            </w:tcBorders>
            <w:vAlign w:val="center"/>
          </w:tcPr>
          <w:p w14:paraId="516813A6">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122,795,762</w:t>
            </w:r>
          </w:p>
        </w:tc>
        <w:tc>
          <w:tcPr>
            <w:tcW w:w="382" w:type="pct"/>
            <w:tcBorders>
              <w:top w:val="single" w:color="auto" w:sz="4" w:space="0"/>
              <w:left w:val="single" w:color="auto" w:sz="4" w:space="0"/>
              <w:bottom w:val="single" w:color="auto" w:sz="4" w:space="0"/>
              <w:right w:val="single" w:color="auto" w:sz="4" w:space="0"/>
            </w:tcBorders>
            <w:vAlign w:val="center"/>
          </w:tcPr>
          <w:p w14:paraId="11CE0307">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17.24%</w:t>
            </w:r>
          </w:p>
        </w:tc>
        <w:tc>
          <w:tcPr>
            <w:tcW w:w="691" w:type="pct"/>
            <w:tcBorders>
              <w:top w:val="single" w:color="auto" w:sz="4" w:space="0"/>
              <w:left w:val="single" w:color="auto" w:sz="4" w:space="0"/>
              <w:bottom w:val="single" w:color="auto" w:sz="4" w:space="0"/>
              <w:right w:val="single" w:color="auto" w:sz="4" w:space="0"/>
            </w:tcBorders>
            <w:vAlign w:val="center"/>
          </w:tcPr>
          <w:p w14:paraId="64E2FAA9">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94,450,000</w:t>
            </w:r>
          </w:p>
        </w:tc>
        <w:tc>
          <w:tcPr>
            <w:tcW w:w="498" w:type="pct"/>
            <w:tcBorders>
              <w:top w:val="single" w:color="auto" w:sz="4" w:space="0"/>
              <w:left w:val="single" w:color="auto" w:sz="4" w:space="0"/>
              <w:bottom w:val="single" w:color="auto" w:sz="4" w:space="0"/>
              <w:right w:val="single" w:color="auto" w:sz="4" w:space="0"/>
            </w:tcBorders>
            <w:vAlign w:val="center"/>
          </w:tcPr>
          <w:p w14:paraId="6C6313C9">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84,550,000</w:t>
            </w:r>
          </w:p>
        </w:tc>
        <w:tc>
          <w:tcPr>
            <w:tcW w:w="382" w:type="pct"/>
            <w:tcBorders>
              <w:top w:val="single" w:color="auto" w:sz="4" w:space="0"/>
              <w:left w:val="single" w:color="auto" w:sz="4" w:space="0"/>
              <w:bottom w:val="single" w:color="auto" w:sz="4" w:space="0"/>
              <w:right w:val="single" w:color="auto" w:sz="4" w:space="0"/>
            </w:tcBorders>
            <w:vAlign w:val="center"/>
          </w:tcPr>
          <w:p w14:paraId="6856B4CB">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68.85%</w:t>
            </w:r>
          </w:p>
        </w:tc>
        <w:tc>
          <w:tcPr>
            <w:tcW w:w="382" w:type="pct"/>
            <w:tcBorders>
              <w:top w:val="single" w:color="auto" w:sz="4" w:space="0"/>
              <w:left w:val="single" w:color="auto" w:sz="4" w:space="0"/>
              <w:bottom w:val="single" w:color="auto" w:sz="4" w:space="0"/>
              <w:right w:val="single" w:color="auto" w:sz="4" w:space="0"/>
            </w:tcBorders>
            <w:vAlign w:val="center"/>
          </w:tcPr>
          <w:p w14:paraId="161BA19D">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11.87%</w:t>
            </w:r>
          </w:p>
        </w:tc>
        <w:tc>
          <w:tcPr>
            <w:tcW w:w="429" w:type="pct"/>
            <w:tcBorders>
              <w:top w:val="single" w:color="auto" w:sz="4" w:space="0"/>
              <w:left w:val="single" w:color="auto" w:sz="4" w:space="0"/>
              <w:bottom w:val="single" w:color="auto" w:sz="4" w:space="0"/>
              <w:right w:val="single" w:color="auto" w:sz="4" w:space="0"/>
            </w:tcBorders>
            <w:vAlign w:val="center"/>
          </w:tcPr>
          <w:p w14:paraId="7AF6C794">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w:t>
            </w:r>
          </w:p>
        </w:tc>
        <w:tc>
          <w:tcPr>
            <w:tcW w:w="374" w:type="pct"/>
            <w:tcBorders>
              <w:top w:val="single" w:color="auto" w:sz="4" w:space="0"/>
              <w:left w:val="single" w:color="auto" w:sz="4" w:space="0"/>
              <w:bottom w:val="single" w:color="auto" w:sz="4" w:space="0"/>
              <w:right w:val="single" w:color="auto" w:sz="4" w:space="0"/>
            </w:tcBorders>
            <w:vAlign w:val="center"/>
          </w:tcPr>
          <w:p w14:paraId="7CB1FBC5">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w:t>
            </w:r>
          </w:p>
        </w:tc>
        <w:tc>
          <w:tcPr>
            <w:tcW w:w="376" w:type="pct"/>
            <w:tcBorders>
              <w:top w:val="single" w:color="auto" w:sz="4" w:space="0"/>
              <w:left w:val="single" w:color="auto" w:sz="4" w:space="0"/>
              <w:bottom w:val="single" w:color="auto" w:sz="4" w:space="0"/>
              <w:right w:val="single" w:color="auto" w:sz="4" w:space="0"/>
            </w:tcBorders>
            <w:vAlign w:val="center"/>
          </w:tcPr>
          <w:p w14:paraId="286DF0DD">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w:t>
            </w:r>
          </w:p>
        </w:tc>
        <w:tc>
          <w:tcPr>
            <w:tcW w:w="397" w:type="pct"/>
            <w:tcBorders>
              <w:top w:val="single" w:color="auto" w:sz="4" w:space="0"/>
              <w:left w:val="single" w:color="auto" w:sz="4" w:space="0"/>
              <w:bottom w:val="single" w:color="auto" w:sz="4" w:space="0"/>
              <w:right w:val="single" w:color="auto" w:sz="4" w:space="0"/>
            </w:tcBorders>
            <w:vAlign w:val="center"/>
          </w:tcPr>
          <w:p w14:paraId="5580EA7E">
            <w:pPr>
              <w:jc w:val="center"/>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w:t>
            </w:r>
          </w:p>
        </w:tc>
      </w:tr>
    </w:tbl>
    <w:p w14:paraId="48D4C24E">
      <w:pPr>
        <w:spacing w:line="420" w:lineRule="exact"/>
        <w:rPr>
          <w:rFonts w:hint="eastAsia" w:asciiTheme="minorEastAsia" w:hAnsiTheme="minorEastAsia" w:eastAsiaTheme="minorEastAsia"/>
          <w:sz w:val="24"/>
        </w:rPr>
      </w:pPr>
    </w:p>
    <w:p w14:paraId="3ED8CBF6">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特此公告。</w:t>
      </w:r>
    </w:p>
    <w:p w14:paraId="5E4678D2">
      <w:pPr>
        <w:spacing w:line="360" w:lineRule="auto"/>
        <w:ind w:firstLine="480" w:firstLineChars="200"/>
        <w:rPr>
          <w:rFonts w:hint="eastAsia" w:asciiTheme="minorEastAsia" w:hAnsiTheme="minorEastAsia" w:eastAsiaTheme="minorEastAsia" w:cstheme="minorEastAsia"/>
          <w:sz w:val="24"/>
        </w:rPr>
      </w:pPr>
    </w:p>
    <w:p w14:paraId="19A01CB3">
      <w:pPr>
        <w:spacing w:line="360" w:lineRule="auto"/>
        <w:ind w:firstLine="480" w:firstLineChars="200"/>
        <w:jc w:val="right"/>
        <w:rPr>
          <w:rFonts w:hint="eastAsia" w:asciiTheme="minorEastAsia" w:hAnsiTheme="minorEastAsia" w:eastAsiaTheme="minorEastAsia" w:cstheme="minorEastAsia"/>
          <w:sz w:val="24"/>
        </w:rPr>
      </w:pPr>
    </w:p>
    <w:p w14:paraId="2C536F37">
      <w:pPr>
        <w:pStyle w:val="5"/>
        <w:adjustRightInd w:val="0"/>
        <w:snapToGrid w:val="0"/>
        <w:spacing w:before="0" w:beforeAutospacing="0" w:after="0" w:afterAutospacing="0" w:line="360" w:lineRule="auto"/>
        <w:ind w:firstLine="480" w:firstLineChars="20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江苏吴中医药发展股份有限公司</w:t>
      </w:r>
    </w:p>
    <w:p w14:paraId="63B099E4">
      <w:pPr>
        <w:pStyle w:val="5"/>
        <w:adjustRightInd w:val="0"/>
        <w:snapToGrid w:val="0"/>
        <w:spacing w:before="0" w:beforeAutospacing="0" w:after="0" w:afterAutospacing="0" w:line="360" w:lineRule="auto"/>
        <w:ind w:right="720" w:firstLine="480" w:firstLineChars="20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董事会</w:t>
      </w:r>
    </w:p>
    <w:p w14:paraId="3F871186">
      <w:pPr>
        <w:pStyle w:val="5"/>
        <w:adjustRightInd w:val="0"/>
        <w:snapToGrid w:val="0"/>
        <w:spacing w:before="0" w:beforeAutospacing="0" w:after="0" w:afterAutospacing="0" w:line="360" w:lineRule="auto"/>
        <w:ind w:firstLine="480" w:firstLineChars="200"/>
        <w:jc w:val="right"/>
        <w:rPr>
          <w:rFonts w:hint="eastAsia" w:asciiTheme="minorEastAsia" w:hAnsiTheme="minorEastAsia" w:eastAsiaTheme="minorEastAsia"/>
        </w:rPr>
      </w:pPr>
      <w:r>
        <w:rPr>
          <w:rFonts w:hint="eastAsia" w:asciiTheme="minorEastAsia" w:hAnsiTheme="minorEastAsia" w:eastAsiaTheme="minorEastAsia" w:cstheme="minorEastAsia"/>
        </w:rPr>
        <w:t>202</w:t>
      </w:r>
      <w:bookmarkStart w:id="0" w:name="_GoBack"/>
      <w:bookmarkEnd w:id="0"/>
      <w:r>
        <w:rPr>
          <w:rFonts w:hint="eastAsia" w:asciiTheme="minorEastAsia" w:hAnsiTheme="minorEastAsia" w:eastAsiaTheme="minorEastAsia" w:cstheme="minorEastAsia"/>
        </w:rPr>
        <w:t>4年1</w:t>
      </w:r>
      <w:r>
        <w:rPr>
          <w:rFonts w:hint="eastAsia" w:asciiTheme="minorEastAsia" w:hAnsiTheme="minorEastAsia" w:eastAsiaTheme="minorEastAsia" w:cstheme="minorEastAsia"/>
          <w:highlight w:val="none"/>
        </w:rPr>
        <w:t>0月</w:t>
      </w:r>
      <w:r>
        <w:rPr>
          <w:rFonts w:hint="eastAsia" w:asciiTheme="minorEastAsia" w:hAnsiTheme="minorEastAsia" w:eastAsiaTheme="minorEastAsia" w:cstheme="minorEastAsia"/>
          <w:highlight w:val="none"/>
          <w:lang w:val="en-US" w:eastAsia="zh-CN"/>
        </w:rPr>
        <w:t>19</w:t>
      </w:r>
      <w:r>
        <w:rPr>
          <w:rFonts w:hint="eastAsia" w:asciiTheme="minorEastAsia" w:hAnsiTheme="minorEastAsia" w:eastAsiaTheme="minorEastAsia" w:cstheme="minorEastAsia"/>
          <w:highlight w:val="none"/>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ˎ̥">
    <w:altName w:val="Times New Roman"/>
    <w:panose1 w:val="00000000000000000000"/>
    <w:charset w:val="00"/>
    <w:family w:val="roman"/>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4BB98B"/>
    <w:multiLevelType w:val="singleLevel"/>
    <w:tmpl w:val="294BB98B"/>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AzMzg3MzBkYTdlOWNiYzE5Mzg4NjU4MDk0ZDkyNTkifQ=="/>
  </w:docVars>
  <w:rsids>
    <w:rsidRoot w:val="0050672D"/>
    <w:rsid w:val="0001153F"/>
    <w:rsid w:val="00015559"/>
    <w:rsid w:val="0003171D"/>
    <w:rsid w:val="000377FA"/>
    <w:rsid w:val="000514F9"/>
    <w:rsid w:val="000724A8"/>
    <w:rsid w:val="000B7625"/>
    <w:rsid w:val="000C1EBF"/>
    <w:rsid w:val="000C627C"/>
    <w:rsid w:val="000D5160"/>
    <w:rsid w:val="000E5928"/>
    <w:rsid w:val="001044FC"/>
    <w:rsid w:val="00115DE0"/>
    <w:rsid w:val="00123F7C"/>
    <w:rsid w:val="00125EB5"/>
    <w:rsid w:val="00141A30"/>
    <w:rsid w:val="0014235B"/>
    <w:rsid w:val="001449C0"/>
    <w:rsid w:val="00163205"/>
    <w:rsid w:val="0016641A"/>
    <w:rsid w:val="00167B35"/>
    <w:rsid w:val="00184711"/>
    <w:rsid w:val="0019296F"/>
    <w:rsid w:val="001A6F91"/>
    <w:rsid w:val="001B4195"/>
    <w:rsid w:val="001F698F"/>
    <w:rsid w:val="001F712F"/>
    <w:rsid w:val="002442A3"/>
    <w:rsid w:val="00251C73"/>
    <w:rsid w:val="00254360"/>
    <w:rsid w:val="0025726D"/>
    <w:rsid w:val="0025795B"/>
    <w:rsid w:val="0027220C"/>
    <w:rsid w:val="002808AB"/>
    <w:rsid w:val="00284CD2"/>
    <w:rsid w:val="002B7CCB"/>
    <w:rsid w:val="002C71E7"/>
    <w:rsid w:val="002D2369"/>
    <w:rsid w:val="002F74DC"/>
    <w:rsid w:val="00324EB8"/>
    <w:rsid w:val="00360CA8"/>
    <w:rsid w:val="0037324C"/>
    <w:rsid w:val="00373349"/>
    <w:rsid w:val="003870CC"/>
    <w:rsid w:val="003B5345"/>
    <w:rsid w:val="003C607D"/>
    <w:rsid w:val="003D0C3B"/>
    <w:rsid w:val="003D3FFF"/>
    <w:rsid w:val="003E355B"/>
    <w:rsid w:val="003F3F8C"/>
    <w:rsid w:val="004007BD"/>
    <w:rsid w:val="0040682A"/>
    <w:rsid w:val="00416D19"/>
    <w:rsid w:val="0041720E"/>
    <w:rsid w:val="00421F4E"/>
    <w:rsid w:val="004225DD"/>
    <w:rsid w:val="0042551B"/>
    <w:rsid w:val="004502F4"/>
    <w:rsid w:val="0048345E"/>
    <w:rsid w:val="00496E8A"/>
    <w:rsid w:val="004C27B9"/>
    <w:rsid w:val="004C3DB4"/>
    <w:rsid w:val="004E2BB1"/>
    <w:rsid w:val="004E363D"/>
    <w:rsid w:val="004F1ED6"/>
    <w:rsid w:val="004F1F15"/>
    <w:rsid w:val="004F3380"/>
    <w:rsid w:val="0050672D"/>
    <w:rsid w:val="00530696"/>
    <w:rsid w:val="0054311D"/>
    <w:rsid w:val="005712CB"/>
    <w:rsid w:val="00577CBB"/>
    <w:rsid w:val="00587649"/>
    <w:rsid w:val="005A6A74"/>
    <w:rsid w:val="005B4F18"/>
    <w:rsid w:val="005C3668"/>
    <w:rsid w:val="005D4ACB"/>
    <w:rsid w:val="00606A68"/>
    <w:rsid w:val="00615D49"/>
    <w:rsid w:val="006412D7"/>
    <w:rsid w:val="00662769"/>
    <w:rsid w:val="00663BD6"/>
    <w:rsid w:val="00683AED"/>
    <w:rsid w:val="00695D72"/>
    <w:rsid w:val="006B29CA"/>
    <w:rsid w:val="006B2B65"/>
    <w:rsid w:val="007001F0"/>
    <w:rsid w:val="007014FC"/>
    <w:rsid w:val="007564B5"/>
    <w:rsid w:val="00766EEB"/>
    <w:rsid w:val="00772A33"/>
    <w:rsid w:val="0078073C"/>
    <w:rsid w:val="00782C5A"/>
    <w:rsid w:val="007C7BAF"/>
    <w:rsid w:val="00802A0A"/>
    <w:rsid w:val="008112B5"/>
    <w:rsid w:val="00813D44"/>
    <w:rsid w:val="00830FA4"/>
    <w:rsid w:val="0084307D"/>
    <w:rsid w:val="008664B4"/>
    <w:rsid w:val="00877ED4"/>
    <w:rsid w:val="00887DA0"/>
    <w:rsid w:val="00893296"/>
    <w:rsid w:val="008935D4"/>
    <w:rsid w:val="008E57CC"/>
    <w:rsid w:val="008F5155"/>
    <w:rsid w:val="008F6AB5"/>
    <w:rsid w:val="00933FA5"/>
    <w:rsid w:val="00934104"/>
    <w:rsid w:val="00951425"/>
    <w:rsid w:val="00954704"/>
    <w:rsid w:val="00955A3F"/>
    <w:rsid w:val="00960430"/>
    <w:rsid w:val="00967AA4"/>
    <w:rsid w:val="00A05A16"/>
    <w:rsid w:val="00A267F9"/>
    <w:rsid w:val="00A842DF"/>
    <w:rsid w:val="00A946A6"/>
    <w:rsid w:val="00AA10D4"/>
    <w:rsid w:val="00AB2664"/>
    <w:rsid w:val="00AC49D6"/>
    <w:rsid w:val="00AC7ABF"/>
    <w:rsid w:val="00B07E79"/>
    <w:rsid w:val="00B31A8D"/>
    <w:rsid w:val="00B52013"/>
    <w:rsid w:val="00B54E8C"/>
    <w:rsid w:val="00B749AB"/>
    <w:rsid w:val="00B843DD"/>
    <w:rsid w:val="00B87AB6"/>
    <w:rsid w:val="00BB5C59"/>
    <w:rsid w:val="00BB5F62"/>
    <w:rsid w:val="00BC7D27"/>
    <w:rsid w:val="00BE2994"/>
    <w:rsid w:val="00BF68F7"/>
    <w:rsid w:val="00C009B4"/>
    <w:rsid w:val="00C01D90"/>
    <w:rsid w:val="00C10661"/>
    <w:rsid w:val="00C14435"/>
    <w:rsid w:val="00C71DAA"/>
    <w:rsid w:val="00C77455"/>
    <w:rsid w:val="00CA55DB"/>
    <w:rsid w:val="00CA5FCF"/>
    <w:rsid w:val="00CC65AD"/>
    <w:rsid w:val="00CD2A4D"/>
    <w:rsid w:val="00CD5891"/>
    <w:rsid w:val="00CD6EAB"/>
    <w:rsid w:val="00CE193B"/>
    <w:rsid w:val="00CF2676"/>
    <w:rsid w:val="00CF42BE"/>
    <w:rsid w:val="00D04CBB"/>
    <w:rsid w:val="00D21B8D"/>
    <w:rsid w:val="00D2264C"/>
    <w:rsid w:val="00D26D15"/>
    <w:rsid w:val="00D45281"/>
    <w:rsid w:val="00D53DC4"/>
    <w:rsid w:val="00D86A2F"/>
    <w:rsid w:val="00D90BC6"/>
    <w:rsid w:val="00DE14D9"/>
    <w:rsid w:val="00E003D0"/>
    <w:rsid w:val="00E025CD"/>
    <w:rsid w:val="00E05034"/>
    <w:rsid w:val="00E220DE"/>
    <w:rsid w:val="00E63018"/>
    <w:rsid w:val="00E74755"/>
    <w:rsid w:val="00E77D37"/>
    <w:rsid w:val="00E87F22"/>
    <w:rsid w:val="00E9529E"/>
    <w:rsid w:val="00E96761"/>
    <w:rsid w:val="00EA4DFF"/>
    <w:rsid w:val="00EA6444"/>
    <w:rsid w:val="00EB7FBA"/>
    <w:rsid w:val="00EE6CAD"/>
    <w:rsid w:val="00EF67AA"/>
    <w:rsid w:val="00F03FA2"/>
    <w:rsid w:val="00F133BF"/>
    <w:rsid w:val="00F168FB"/>
    <w:rsid w:val="00F21312"/>
    <w:rsid w:val="00F23D77"/>
    <w:rsid w:val="00F642E6"/>
    <w:rsid w:val="00FA5496"/>
    <w:rsid w:val="00FB56C5"/>
    <w:rsid w:val="00FB79DD"/>
    <w:rsid w:val="00FE4FBE"/>
    <w:rsid w:val="00FE5ACA"/>
    <w:rsid w:val="06562220"/>
    <w:rsid w:val="094E71DE"/>
    <w:rsid w:val="0C201306"/>
    <w:rsid w:val="0F451CF7"/>
    <w:rsid w:val="0FD541B5"/>
    <w:rsid w:val="103709CC"/>
    <w:rsid w:val="105B0B5E"/>
    <w:rsid w:val="11AA3420"/>
    <w:rsid w:val="12EA6DB9"/>
    <w:rsid w:val="15347BD0"/>
    <w:rsid w:val="1900557D"/>
    <w:rsid w:val="19AC0CB4"/>
    <w:rsid w:val="19E20392"/>
    <w:rsid w:val="1A1C67C4"/>
    <w:rsid w:val="1A32322B"/>
    <w:rsid w:val="1C1442B7"/>
    <w:rsid w:val="209F6845"/>
    <w:rsid w:val="213D605E"/>
    <w:rsid w:val="21DA1AFF"/>
    <w:rsid w:val="232B2612"/>
    <w:rsid w:val="28B44E58"/>
    <w:rsid w:val="2B1240B8"/>
    <w:rsid w:val="2B604E23"/>
    <w:rsid w:val="2D663294"/>
    <w:rsid w:val="2EC71BD2"/>
    <w:rsid w:val="2FB932B7"/>
    <w:rsid w:val="31992E3D"/>
    <w:rsid w:val="324A05DB"/>
    <w:rsid w:val="37C16C4A"/>
    <w:rsid w:val="38BB4E49"/>
    <w:rsid w:val="3B1F3AF7"/>
    <w:rsid w:val="3DCE0312"/>
    <w:rsid w:val="3E1D4DF6"/>
    <w:rsid w:val="40D44D20"/>
    <w:rsid w:val="41A90E7A"/>
    <w:rsid w:val="41B25855"/>
    <w:rsid w:val="42D40179"/>
    <w:rsid w:val="42F0448D"/>
    <w:rsid w:val="447C3AB2"/>
    <w:rsid w:val="4559127A"/>
    <w:rsid w:val="45C6770B"/>
    <w:rsid w:val="471072A6"/>
    <w:rsid w:val="47B71E17"/>
    <w:rsid w:val="4819662E"/>
    <w:rsid w:val="49375AC6"/>
    <w:rsid w:val="4A6E2C61"/>
    <w:rsid w:val="4BE530C7"/>
    <w:rsid w:val="4BF61160"/>
    <w:rsid w:val="4D502AF2"/>
    <w:rsid w:val="53AC47FA"/>
    <w:rsid w:val="545F186C"/>
    <w:rsid w:val="59215342"/>
    <w:rsid w:val="5A36306F"/>
    <w:rsid w:val="5A6000EC"/>
    <w:rsid w:val="5A7C4AED"/>
    <w:rsid w:val="5B3550D5"/>
    <w:rsid w:val="5B4B2B4A"/>
    <w:rsid w:val="5C2A09B2"/>
    <w:rsid w:val="5E5D0BCB"/>
    <w:rsid w:val="5E8A398A"/>
    <w:rsid w:val="623A0909"/>
    <w:rsid w:val="629809DA"/>
    <w:rsid w:val="639808F7"/>
    <w:rsid w:val="641206A9"/>
    <w:rsid w:val="664B3E91"/>
    <w:rsid w:val="66D2790B"/>
    <w:rsid w:val="68835F9E"/>
    <w:rsid w:val="69E63524"/>
    <w:rsid w:val="6AC33D89"/>
    <w:rsid w:val="7541494A"/>
    <w:rsid w:val="77AA6230"/>
    <w:rsid w:val="77D870BC"/>
    <w:rsid w:val="79DF0BD6"/>
    <w:rsid w:val="7BC50A70"/>
    <w:rsid w:val="7C246D74"/>
    <w:rsid w:val="7EE84089"/>
    <w:rsid w:val="7F773F25"/>
    <w:rsid w:val="7FC526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alloon Text"/>
    <w:basedOn w:val="1"/>
    <w:link w:val="11"/>
    <w:autoRedefine/>
    <w:semiHidden/>
    <w:unhideWhenUsed/>
    <w:qFormat/>
    <w:uiPriority w:val="99"/>
    <w:rPr>
      <w:sz w:val="18"/>
      <w:szCs w:val="18"/>
    </w:rPr>
  </w:style>
  <w:style w:type="paragraph" w:styleId="3">
    <w:name w:val="footer"/>
    <w:basedOn w:val="1"/>
    <w:link w:val="9"/>
    <w:autoRedefine/>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paragraph" w:customStyle="1" w:styleId="10">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1">
    <w:name w:val="批注框文本 字符"/>
    <w:basedOn w:val="7"/>
    <w:link w:val="2"/>
    <w:autoRedefine/>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773</Words>
  <Characters>979</Characters>
  <Lines>7</Lines>
  <Paragraphs>2</Paragraphs>
  <TotalTime>114</TotalTime>
  <ScaleCrop>false</ScaleCrop>
  <LinksUpToDate>false</LinksUpToDate>
  <CharactersWithSpaces>994</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2019-11-26T06:20:00Z</dcterms:created>
  <dc:creator>李锐</dc:creator>
  <cp:lastModifiedBy>王雅杰</cp:lastModifiedBy>
  <cp:lastPrinted>2024-10-11T01:54:00Z</cp:lastPrinted>
  <dcterms:modified xsi:type="dcterms:W3CDTF">2024-10-18T02:30:13Z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3966187EEFEC4D0CABC9793F00612810</vt:lpwstr>
  </property>
</Properties>
</file>