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6B5BC">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070</w:t>
      </w:r>
    </w:p>
    <w:p w14:paraId="0E16953E">
      <w:pPr>
        <w:spacing w:line="360" w:lineRule="auto"/>
        <w:ind w:right="-153" w:rightChars="-73"/>
        <w:jc w:val="center"/>
        <w:rPr>
          <w:rFonts w:hint="eastAsia" w:ascii="黑体" w:hAnsi="宋体" w:eastAsia="黑体"/>
          <w:b/>
          <w:bCs/>
          <w:color w:val="FF0000"/>
          <w:sz w:val="32"/>
        </w:rPr>
      </w:pPr>
    </w:p>
    <w:p w14:paraId="71B4E488">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2FFF62B5">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关于控股股东部分股份质押的公告</w:t>
      </w:r>
    </w:p>
    <w:p w14:paraId="6DD83A97">
      <w:pPr>
        <w:autoSpaceDE w:val="0"/>
        <w:autoSpaceDN w:val="0"/>
        <w:adjustRightInd w:val="0"/>
        <w:spacing w:line="360" w:lineRule="auto"/>
        <w:ind w:firstLine="482" w:firstLineChars="200"/>
        <w:rPr>
          <w:rFonts w:hint="eastAsia" w:ascii="ˎ̥" w:hAnsi="ˎ̥"/>
          <w:b/>
          <w:sz w:val="24"/>
        </w:rPr>
      </w:pPr>
    </w:p>
    <w:p w14:paraId="794F17BF">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14C45DBC">
      <w:pPr>
        <w:spacing w:line="420" w:lineRule="exact"/>
        <w:rPr>
          <w:rFonts w:ascii="宋体" w:cs="宋体"/>
          <w:color w:val="000000"/>
          <w:kern w:val="0"/>
          <w:sz w:val="24"/>
        </w:rPr>
      </w:pPr>
    </w:p>
    <w:p w14:paraId="5B72DB58">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bookmarkStart w:id="0" w:name="_GoBack"/>
      <w:bookmarkEnd w:id="0"/>
    </w:p>
    <w:p w14:paraId="3E6390B9">
      <w:pPr>
        <w:numPr>
          <w:ilvl w:val="0"/>
          <w:numId w:val="1"/>
        </w:numPr>
        <w:adjustRightInd w:val="0"/>
        <w:snapToGrid w:val="0"/>
        <w:spacing w:line="360" w:lineRule="auto"/>
        <w:rPr>
          <w:rFonts w:hint="eastAsia" w:ascii="宋体" w:hAnsi="宋体"/>
          <w:sz w:val="24"/>
        </w:rPr>
      </w:pPr>
      <w:r>
        <w:rPr>
          <w:rFonts w:hint="eastAsia" w:ascii="宋体" w:hAnsi="宋体"/>
          <w:sz w:val="24"/>
        </w:rPr>
        <w:t>截至本公告披露日，江苏吴中医药发展股份有限公司（以下简称“公司”）控股股东苏州吴中投资控股有限公司（以下简称“控股股东”）持有公司122,795,762股股份（均为无限售流通股），占公司总股本的17.24%。</w:t>
      </w:r>
    </w:p>
    <w:p w14:paraId="74F7728B">
      <w:pPr>
        <w:numPr>
          <w:ilvl w:val="0"/>
          <w:numId w:val="1"/>
        </w:numPr>
        <w:adjustRightInd w:val="0"/>
        <w:snapToGrid w:val="0"/>
        <w:spacing w:line="360" w:lineRule="auto"/>
        <w:rPr>
          <w:rFonts w:hint="eastAsia" w:ascii="宋体" w:hAnsi="宋体"/>
          <w:sz w:val="24"/>
        </w:rPr>
      </w:pPr>
      <w:r>
        <w:rPr>
          <w:rFonts w:hint="eastAsia" w:ascii="宋体" w:hAnsi="宋体"/>
          <w:sz w:val="24"/>
        </w:rPr>
        <w:t>本次部分股份质押后</w:t>
      </w:r>
      <w:r>
        <w:rPr>
          <w:rFonts w:hint="eastAsia" w:ascii="宋体" w:hAnsi="宋体"/>
          <w:sz w:val="24"/>
          <w:highlight w:val="none"/>
        </w:rPr>
        <w:t>，控股股东累计质押股份数量91</w:t>
      </w:r>
      <w:r>
        <w:rPr>
          <w:rFonts w:hint="eastAsia" w:ascii="宋体" w:hAnsi="宋体"/>
          <w:sz w:val="24"/>
          <w:highlight w:val="none"/>
          <w:lang w:val="en-US" w:eastAsia="zh-CN"/>
        </w:rPr>
        <w:t>,</w:t>
      </w:r>
      <w:r>
        <w:rPr>
          <w:rFonts w:hint="eastAsia" w:ascii="宋体" w:hAnsi="宋体"/>
          <w:sz w:val="24"/>
          <w:highlight w:val="none"/>
        </w:rPr>
        <w:t>750</w:t>
      </w:r>
      <w:r>
        <w:rPr>
          <w:rFonts w:hint="eastAsia" w:ascii="宋体" w:hAnsi="宋体"/>
          <w:sz w:val="24"/>
          <w:highlight w:val="none"/>
          <w:lang w:val="en-US" w:eastAsia="zh-CN"/>
        </w:rPr>
        <w:t>,</w:t>
      </w:r>
      <w:r>
        <w:rPr>
          <w:rFonts w:hint="eastAsia" w:ascii="宋体" w:hAnsi="宋体"/>
          <w:sz w:val="24"/>
          <w:highlight w:val="none"/>
        </w:rPr>
        <w:t>000股，占其持有公司股份总数的74.72%，占公司总股本的12.88%。</w:t>
      </w:r>
    </w:p>
    <w:p w14:paraId="35B22BDF">
      <w:pPr>
        <w:spacing w:line="420" w:lineRule="exact"/>
        <w:rPr>
          <w:rFonts w:ascii="宋体" w:cs="宋体"/>
          <w:kern w:val="0"/>
          <w:sz w:val="24"/>
        </w:rPr>
      </w:pPr>
    </w:p>
    <w:p w14:paraId="5E3176E3">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公司于2024年10月</w:t>
      </w:r>
      <w:r>
        <w:rPr>
          <w:rFonts w:hint="eastAsia" w:asciiTheme="minorEastAsia" w:hAnsiTheme="minorEastAsia" w:eastAsiaTheme="minorEastAsia" w:cstheme="minorEastAsia"/>
          <w:sz w:val="24"/>
          <w:highlight w:val="none"/>
          <w:lang w:val="en-US" w:eastAsia="zh-CN"/>
        </w:rPr>
        <w:t>25</w:t>
      </w:r>
      <w:r>
        <w:rPr>
          <w:rFonts w:hint="eastAsia" w:asciiTheme="minorEastAsia" w:hAnsiTheme="minorEastAsia" w:eastAsiaTheme="minorEastAsia" w:cstheme="minorEastAsia"/>
          <w:sz w:val="24"/>
        </w:rPr>
        <w:t>日收到控股股东苏州吴中投资控股有限公司关于部分股份质押的通知，具体情况如下：</w:t>
      </w:r>
    </w:p>
    <w:p w14:paraId="1A274E42">
      <w:pPr>
        <w:spacing w:line="360" w:lineRule="auto"/>
        <w:ind w:firstLine="482" w:firstLineChars="2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一、股份质押基本情况</w:t>
      </w:r>
    </w:p>
    <w:p w14:paraId="065BBBD4">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1、本次股份质押基本情况</w:t>
      </w:r>
    </w:p>
    <w:tbl>
      <w:tblPr>
        <w:tblStyle w:val="5"/>
        <w:tblW w:w="10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900"/>
        <w:gridCol w:w="1350"/>
        <w:gridCol w:w="660"/>
        <w:gridCol w:w="690"/>
        <w:gridCol w:w="1050"/>
        <w:gridCol w:w="1020"/>
        <w:gridCol w:w="1304"/>
        <w:gridCol w:w="870"/>
        <w:gridCol w:w="757"/>
        <w:gridCol w:w="850"/>
      </w:tblGrid>
      <w:tr w14:paraId="282C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14:paraId="1ADCE764">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w:t>
            </w:r>
          </w:p>
          <w:p w14:paraId="3032BFFD">
            <w:pPr>
              <w:jc w:val="center"/>
              <w:rPr>
                <w:rFonts w:hint="eastAsia" w:asciiTheme="minorEastAsia" w:hAnsiTheme="minorEastAsia" w:eastAsiaTheme="minorEastAsia"/>
                <w:szCs w:val="21"/>
              </w:rPr>
            </w:pPr>
            <w:r>
              <w:rPr>
                <w:rFonts w:hint="eastAsia" w:asciiTheme="minorEastAsia" w:hAnsiTheme="minorEastAsia" w:eastAsiaTheme="minorEastAsia"/>
                <w:szCs w:val="21"/>
              </w:rPr>
              <w:t>名称</w:t>
            </w:r>
          </w:p>
        </w:tc>
        <w:tc>
          <w:tcPr>
            <w:tcW w:w="900" w:type="dxa"/>
            <w:tcBorders>
              <w:top w:val="single" w:color="auto" w:sz="4" w:space="0"/>
              <w:left w:val="single" w:color="auto" w:sz="4" w:space="0"/>
              <w:bottom w:val="single" w:color="auto" w:sz="4" w:space="0"/>
              <w:right w:val="single" w:color="auto" w:sz="4" w:space="0"/>
            </w:tcBorders>
            <w:vAlign w:val="center"/>
          </w:tcPr>
          <w:p w14:paraId="30B5FF29">
            <w:pPr>
              <w:jc w:val="center"/>
              <w:rPr>
                <w:rFonts w:hint="eastAsia" w:asciiTheme="minorEastAsia" w:hAnsiTheme="minorEastAsia" w:eastAsiaTheme="minorEastAsia"/>
                <w:szCs w:val="21"/>
              </w:rPr>
            </w:pPr>
            <w:r>
              <w:rPr>
                <w:rFonts w:hint="eastAsia" w:asciiTheme="minorEastAsia" w:hAnsiTheme="minorEastAsia" w:eastAsiaTheme="minorEastAsia"/>
                <w:szCs w:val="21"/>
              </w:rPr>
              <w:t>是否为</w:t>
            </w:r>
          </w:p>
          <w:p w14:paraId="7D0B2862">
            <w:pPr>
              <w:jc w:val="center"/>
              <w:rPr>
                <w:rFonts w:hint="eastAsia" w:asciiTheme="minorEastAsia" w:hAnsiTheme="minorEastAsia" w:eastAsiaTheme="minorEastAsia"/>
                <w:szCs w:val="21"/>
              </w:rPr>
            </w:pPr>
            <w:r>
              <w:rPr>
                <w:rFonts w:hint="eastAsia" w:asciiTheme="minorEastAsia" w:hAnsiTheme="minorEastAsia" w:eastAsiaTheme="minorEastAsia"/>
                <w:szCs w:val="21"/>
              </w:rPr>
              <w:t>控股股东</w:t>
            </w:r>
          </w:p>
        </w:tc>
        <w:tc>
          <w:tcPr>
            <w:tcW w:w="1350" w:type="dxa"/>
            <w:tcBorders>
              <w:top w:val="single" w:color="auto" w:sz="4" w:space="0"/>
              <w:left w:val="single" w:color="auto" w:sz="4" w:space="0"/>
              <w:bottom w:val="single" w:color="auto" w:sz="4" w:space="0"/>
              <w:right w:val="single" w:color="auto" w:sz="4" w:space="0"/>
            </w:tcBorders>
            <w:vAlign w:val="center"/>
          </w:tcPr>
          <w:p w14:paraId="776059C0">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本次质押股数(股)</w:t>
            </w:r>
          </w:p>
        </w:tc>
        <w:tc>
          <w:tcPr>
            <w:tcW w:w="660" w:type="dxa"/>
            <w:tcBorders>
              <w:top w:val="single" w:color="auto" w:sz="4" w:space="0"/>
              <w:left w:val="single" w:color="auto" w:sz="4" w:space="0"/>
              <w:bottom w:val="single" w:color="auto" w:sz="4" w:space="0"/>
              <w:right w:val="single" w:color="auto" w:sz="4" w:space="0"/>
            </w:tcBorders>
            <w:vAlign w:val="center"/>
          </w:tcPr>
          <w:p w14:paraId="2ACBA5C1">
            <w:pPr>
              <w:jc w:val="center"/>
              <w:rPr>
                <w:rFonts w:hint="eastAsia" w:asciiTheme="minorEastAsia" w:hAnsiTheme="minorEastAsia" w:eastAsiaTheme="minorEastAsia"/>
                <w:szCs w:val="21"/>
              </w:rPr>
            </w:pPr>
            <w:r>
              <w:rPr>
                <w:rFonts w:hint="eastAsia" w:asciiTheme="minorEastAsia" w:hAnsiTheme="minorEastAsia" w:eastAsiaTheme="minorEastAsia"/>
                <w:szCs w:val="21"/>
              </w:rPr>
              <w:t>是否为限售股</w:t>
            </w:r>
          </w:p>
        </w:tc>
        <w:tc>
          <w:tcPr>
            <w:tcW w:w="690" w:type="dxa"/>
            <w:tcBorders>
              <w:top w:val="single" w:color="auto" w:sz="4" w:space="0"/>
              <w:left w:val="single" w:color="auto" w:sz="4" w:space="0"/>
              <w:bottom w:val="single" w:color="auto" w:sz="4" w:space="0"/>
              <w:right w:val="single" w:color="auto" w:sz="4" w:space="0"/>
            </w:tcBorders>
            <w:vAlign w:val="center"/>
          </w:tcPr>
          <w:p w14:paraId="19EB00A3">
            <w:pPr>
              <w:jc w:val="center"/>
              <w:rPr>
                <w:rFonts w:hint="eastAsia" w:asciiTheme="minorEastAsia" w:hAnsiTheme="minorEastAsia" w:eastAsiaTheme="minorEastAsia"/>
                <w:szCs w:val="21"/>
              </w:rPr>
            </w:pPr>
            <w:r>
              <w:rPr>
                <w:rFonts w:hint="eastAsia" w:asciiTheme="minorEastAsia" w:hAnsiTheme="minorEastAsia" w:eastAsiaTheme="minorEastAsia"/>
                <w:szCs w:val="21"/>
              </w:rPr>
              <w:t>是否补充质押</w:t>
            </w:r>
          </w:p>
        </w:tc>
        <w:tc>
          <w:tcPr>
            <w:tcW w:w="1050" w:type="dxa"/>
            <w:tcBorders>
              <w:top w:val="single" w:color="auto" w:sz="4" w:space="0"/>
              <w:left w:val="single" w:color="auto" w:sz="4" w:space="0"/>
              <w:bottom w:val="single" w:color="auto" w:sz="4" w:space="0"/>
              <w:right w:val="single" w:color="auto" w:sz="4" w:space="0"/>
            </w:tcBorders>
            <w:vAlign w:val="center"/>
          </w:tcPr>
          <w:p w14:paraId="1873CFBA">
            <w:pPr>
              <w:jc w:val="center"/>
              <w:rPr>
                <w:rFonts w:hint="eastAsia" w:asciiTheme="minorEastAsia" w:hAnsiTheme="minorEastAsia" w:eastAsiaTheme="minorEastAsia"/>
                <w:szCs w:val="21"/>
              </w:rPr>
            </w:pPr>
            <w:r>
              <w:rPr>
                <w:rFonts w:hint="eastAsia" w:asciiTheme="minorEastAsia" w:hAnsiTheme="minorEastAsia" w:eastAsiaTheme="minorEastAsia"/>
                <w:szCs w:val="21"/>
              </w:rPr>
              <w:t>质押</w:t>
            </w:r>
          </w:p>
          <w:p w14:paraId="78AA0C83">
            <w:pPr>
              <w:jc w:val="center"/>
              <w:rPr>
                <w:rFonts w:hint="eastAsia" w:asciiTheme="minorEastAsia" w:hAnsiTheme="minorEastAsia" w:eastAsiaTheme="minorEastAsia"/>
                <w:szCs w:val="21"/>
              </w:rPr>
            </w:pPr>
            <w:r>
              <w:rPr>
                <w:rFonts w:hint="eastAsia" w:asciiTheme="minorEastAsia" w:hAnsiTheme="minorEastAsia" w:eastAsiaTheme="minorEastAsia"/>
                <w:szCs w:val="21"/>
              </w:rPr>
              <w:t>起始日</w:t>
            </w:r>
          </w:p>
        </w:tc>
        <w:tc>
          <w:tcPr>
            <w:tcW w:w="1020" w:type="dxa"/>
            <w:tcBorders>
              <w:top w:val="single" w:color="auto" w:sz="4" w:space="0"/>
              <w:left w:val="single" w:color="auto" w:sz="4" w:space="0"/>
              <w:bottom w:val="single" w:color="auto" w:sz="4" w:space="0"/>
              <w:right w:val="single" w:color="auto" w:sz="4" w:space="0"/>
            </w:tcBorders>
            <w:vAlign w:val="center"/>
          </w:tcPr>
          <w:p w14:paraId="52B9B101">
            <w:pPr>
              <w:jc w:val="center"/>
              <w:rPr>
                <w:rFonts w:hint="eastAsia" w:asciiTheme="minorEastAsia" w:hAnsiTheme="minorEastAsia" w:eastAsiaTheme="minorEastAsia"/>
                <w:szCs w:val="21"/>
              </w:rPr>
            </w:pPr>
            <w:r>
              <w:rPr>
                <w:rFonts w:hint="eastAsia" w:asciiTheme="minorEastAsia" w:hAnsiTheme="minorEastAsia" w:eastAsiaTheme="minorEastAsia"/>
                <w:szCs w:val="21"/>
              </w:rPr>
              <w:t>质押</w:t>
            </w:r>
          </w:p>
          <w:p w14:paraId="014D76AF">
            <w:pPr>
              <w:jc w:val="center"/>
              <w:rPr>
                <w:rFonts w:hint="eastAsia" w:asciiTheme="minorEastAsia" w:hAnsiTheme="minorEastAsia" w:eastAsiaTheme="minorEastAsia"/>
                <w:szCs w:val="21"/>
              </w:rPr>
            </w:pPr>
            <w:r>
              <w:rPr>
                <w:rFonts w:hint="eastAsia" w:asciiTheme="minorEastAsia" w:hAnsiTheme="minorEastAsia" w:eastAsiaTheme="minorEastAsia"/>
                <w:szCs w:val="21"/>
              </w:rPr>
              <w:t>到期日</w:t>
            </w:r>
          </w:p>
        </w:tc>
        <w:tc>
          <w:tcPr>
            <w:tcW w:w="1304" w:type="dxa"/>
            <w:tcBorders>
              <w:top w:val="single" w:color="auto" w:sz="4" w:space="0"/>
              <w:left w:val="single" w:color="auto" w:sz="4" w:space="0"/>
              <w:bottom w:val="single" w:color="auto" w:sz="4" w:space="0"/>
              <w:right w:val="single" w:color="auto" w:sz="4" w:space="0"/>
            </w:tcBorders>
            <w:vAlign w:val="center"/>
          </w:tcPr>
          <w:p w14:paraId="54BAC1F8">
            <w:pPr>
              <w:jc w:val="center"/>
              <w:rPr>
                <w:rFonts w:hint="eastAsia" w:asciiTheme="minorEastAsia" w:hAnsiTheme="minorEastAsia" w:eastAsiaTheme="minorEastAsia"/>
                <w:szCs w:val="21"/>
              </w:rPr>
            </w:pPr>
            <w:r>
              <w:rPr>
                <w:rFonts w:hint="eastAsia" w:asciiTheme="minorEastAsia" w:hAnsiTheme="minorEastAsia" w:eastAsiaTheme="minorEastAsia"/>
                <w:szCs w:val="21"/>
              </w:rPr>
              <w:t>质权人</w:t>
            </w:r>
          </w:p>
        </w:tc>
        <w:tc>
          <w:tcPr>
            <w:tcW w:w="870" w:type="dxa"/>
            <w:tcBorders>
              <w:top w:val="single" w:color="auto" w:sz="4" w:space="0"/>
              <w:left w:val="single" w:color="auto" w:sz="4" w:space="0"/>
              <w:bottom w:val="single" w:color="auto" w:sz="4" w:space="0"/>
              <w:right w:val="single" w:color="auto" w:sz="4" w:space="0"/>
            </w:tcBorders>
            <w:vAlign w:val="center"/>
          </w:tcPr>
          <w:p w14:paraId="72BB965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757" w:type="dxa"/>
            <w:tcBorders>
              <w:top w:val="single" w:color="auto" w:sz="4" w:space="0"/>
              <w:left w:val="single" w:color="auto" w:sz="4" w:space="0"/>
              <w:bottom w:val="single" w:color="auto" w:sz="4" w:space="0"/>
              <w:right w:val="single" w:color="auto" w:sz="4" w:space="0"/>
            </w:tcBorders>
            <w:vAlign w:val="center"/>
          </w:tcPr>
          <w:p w14:paraId="4895051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50" w:type="dxa"/>
            <w:tcBorders>
              <w:top w:val="single" w:color="auto" w:sz="4" w:space="0"/>
              <w:left w:val="single" w:color="auto" w:sz="4" w:space="0"/>
              <w:bottom w:val="single" w:color="auto" w:sz="4" w:space="0"/>
              <w:right w:val="single" w:color="auto" w:sz="4" w:space="0"/>
            </w:tcBorders>
            <w:vAlign w:val="center"/>
          </w:tcPr>
          <w:p w14:paraId="0BE5A2BC">
            <w:pPr>
              <w:jc w:val="center"/>
              <w:rPr>
                <w:rFonts w:hint="eastAsia" w:asciiTheme="minorEastAsia" w:hAnsiTheme="minorEastAsia" w:eastAsiaTheme="minorEastAsia"/>
                <w:szCs w:val="21"/>
              </w:rPr>
            </w:pPr>
            <w:r>
              <w:rPr>
                <w:rFonts w:hint="eastAsia" w:asciiTheme="minorEastAsia" w:hAnsiTheme="minorEastAsia" w:eastAsiaTheme="minorEastAsia"/>
                <w:szCs w:val="21"/>
              </w:rPr>
              <w:t>质押融资资金用途</w:t>
            </w:r>
          </w:p>
        </w:tc>
      </w:tr>
      <w:tr w14:paraId="58D7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14:paraId="46907559">
            <w:pPr>
              <w:jc w:val="center"/>
              <w:rPr>
                <w:rFonts w:hint="eastAsia" w:asciiTheme="minorEastAsia" w:hAnsiTheme="minorEastAsia" w:eastAsiaTheme="minorEastAsia"/>
                <w:szCs w:val="21"/>
              </w:rPr>
            </w:pPr>
            <w:r>
              <w:rPr>
                <w:rFonts w:hint="eastAsia" w:asciiTheme="minorEastAsia" w:hAnsiTheme="minorEastAsia" w:eastAsiaTheme="minorEastAsia"/>
                <w:szCs w:val="21"/>
              </w:rPr>
              <w:t>苏州吴中投资控股有限公司</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72DF63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是</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14:paraId="0130EF9C">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7,200,000</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4FC8313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否</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F93754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否</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00A6757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2024年10月24日</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089A163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2027年10月22日</w:t>
            </w:r>
          </w:p>
        </w:tc>
        <w:tc>
          <w:tcPr>
            <w:tcW w:w="1304" w:type="dxa"/>
            <w:tcBorders>
              <w:top w:val="single" w:color="auto" w:sz="4" w:space="0"/>
              <w:left w:val="single" w:color="auto" w:sz="4" w:space="0"/>
              <w:right w:val="single" w:color="auto" w:sz="4" w:space="0"/>
            </w:tcBorders>
            <w:shd w:val="clear" w:color="auto" w:fill="auto"/>
            <w:vAlign w:val="center"/>
          </w:tcPr>
          <w:p w14:paraId="6D035F4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浙江理想小额贷款有限公司</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2EBB7D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5.86%</w:t>
            </w:r>
          </w:p>
        </w:tc>
        <w:tc>
          <w:tcPr>
            <w:tcW w:w="757" w:type="dxa"/>
            <w:tcBorders>
              <w:top w:val="single" w:color="auto" w:sz="4" w:space="0"/>
              <w:left w:val="single" w:color="auto" w:sz="4" w:space="0"/>
              <w:bottom w:val="single" w:color="auto" w:sz="4" w:space="0"/>
              <w:right w:val="single" w:color="auto" w:sz="4" w:space="0"/>
            </w:tcBorders>
            <w:shd w:val="clear" w:color="auto" w:fill="auto"/>
            <w:vAlign w:val="center"/>
          </w:tcPr>
          <w:p w14:paraId="19508CB5">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1.01%</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F3E13E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自身生产经营</w:t>
            </w:r>
          </w:p>
        </w:tc>
      </w:tr>
      <w:tr w14:paraId="02FB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14:paraId="4C869394">
            <w:pPr>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F0A9F95">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14:paraId="3402832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7,200,000</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7314433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19BBAF9">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524520A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7F59B1E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304" w:type="dxa"/>
            <w:tcBorders>
              <w:left w:val="single" w:color="auto" w:sz="4" w:space="0"/>
              <w:bottom w:val="single" w:color="auto" w:sz="4" w:space="0"/>
              <w:right w:val="single" w:color="auto" w:sz="4" w:space="0"/>
            </w:tcBorders>
            <w:shd w:val="clear" w:color="auto" w:fill="auto"/>
            <w:vAlign w:val="center"/>
          </w:tcPr>
          <w:p w14:paraId="29818652">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13D23BC9">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5.86%</w:t>
            </w:r>
          </w:p>
        </w:tc>
        <w:tc>
          <w:tcPr>
            <w:tcW w:w="757" w:type="dxa"/>
            <w:tcBorders>
              <w:top w:val="single" w:color="auto" w:sz="4" w:space="0"/>
              <w:left w:val="single" w:color="auto" w:sz="4" w:space="0"/>
              <w:bottom w:val="single" w:color="auto" w:sz="4" w:space="0"/>
              <w:right w:val="single" w:color="auto" w:sz="4" w:space="0"/>
            </w:tcBorders>
            <w:shd w:val="clear" w:color="auto" w:fill="auto"/>
            <w:vAlign w:val="center"/>
          </w:tcPr>
          <w:p w14:paraId="736139B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1.01%</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1CCE7A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14:paraId="525D9281">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2、本次质押股份不存在被用作重大资产重组业绩补偿等事项的担保或其他保障用途等情况。</w:t>
      </w:r>
    </w:p>
    <w:p w14:paraId="4DAF3265">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3、股东累计质押股份情况</w:t>
      </w:r>
    </w:p>
    <w:p w14:paraId="586DABC2">
      <w:pPr>
        <w:adjustRightInd w:val="0"/>
        <w:snapToGrid w:val="0"/>
        <w:spacing w:line="5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截至公告披露日，控股股东累计质押股份情况如下：</w:t>
      </w:r>
    </w:p>
    <w:tbl>
      <w:tblPr>
        <w:tblStyle w:val="5"/>
        <w:tblW w:w="65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97"/>
        <w:gridCol w:w="854"/>
        <w:gridCol w:w="1278"/>
        <w:gridCol w:w="1307"/>
        <w:gridCol w:w="900"/>
        <w:gridCol w:w="868"/>
        <w:gridCol w:w="909"/>
        <w:gridCol w:w="904"/>
        <w:gridCol w:w="846"/>
        <w:gridCol w:w="967"/>
      </w:tblGrid>
      <w:tr w14:paraId="04F8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28" w:type="pct"/>
            <w:vMerge w:val="restart"/>
            <w:tcBorders>
              <w:top w:val="single" w:color="auto" w:sz="4" w:space="0"/>
              <w:left w:val="single" w:color="auto" w:sz="4" w:space="0"/>
              <w:right w:val="single" w:color="auto" w:sz="4" w:space="0"/>
            </w:tcBorders>
            <w:vAlign w:val="center"/>
          </w:tcPr>
          <w:p w14:paraId="12ED17AC">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w:t>
            </w:r>
            <w:r>
              <w:rPr>
                <w:rFonts w:hint="eastAsia" w:asciiTheme="minorEastAsia" w:hAnsiTheme="minorEastAsia" w:eastAsiaTheme="minorEastAsia"/>
                <w:szCs w:val="21"/>
              </w:rPr>
              <w:br w:type="textWrapping"/>
            </w:r>
            <w:r>
              <w:rPr>
                <w:rFonts w:hint="eastAsia" w:asciiTheme="minorEastAsia" w:hAnsiTheme="minorEastAsia" w:eastAsiaTheme="minorEastAsia"/>
                <w:szCs w:val="21"/>
              </w:rPr>
              <w:t>名称</w:t>
            </w:r>
          </w:p>
        </w:tc>
        <w:tc>
          <w:tcPr>
            <w:tcW w:w="623" w:type="pct"/>
            <w:vMerge w:val="restart"/>
            <w:tcBorders>
              <w:top w:val="single" w:color="auto" w:sz="4" w:space="0"/>
              <w:left w:val="single" w:color="auto" w:sz="4" w:space="0"/>
              <w:right w:val="single" w:color="auto" w:sz="4" w:space="0"/>
            </w:tcBorders>
            <w:vAlign w:val="center"/>
          </w:tcPr>
          <w:p w14:paraId="70E7CD40">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1" w:type="pct"/>
            <w:vMerge w:val="restart"/>
            <w:tcBorders>
              <w:top w:val="single" w:color="auto" w:sz="4" w:space="0"/>
              <w:left w:val="single" w:color="auto" w:sz="4" w:space="0"/>
              <w:right w:val="single" w:color="auto" w:sz="4" w:space="0"/>
            </w:tcBorders>
            <w:vAlign w:val="center"/>
          </w:tcPr>
          <w:p w14:paraId="4CBB4423">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w:t>
            </w:r>
            <w:r>
              <w:rPr>
                <w:rFonts w:hint="eastAsia" w:asciiTheme="minorEastAsia" w:hAnsiTheme="minorEastAsia" w:eastAsiaTheme="minorEastAsia"/>
                <w:szCs w:val="21"/>
              </w:rPr>
              <w:br w:type="textWrapping"/>
            </w:r>
            <w:r>
              <w:rPr>
                <w:rFonts w:hint="eastAsia" w:asciiTheme="minorEastAsia" w:hAnsiTheme="minorEastAsia" w:eastAsiaTheme="minorEastAsia"/>
                <w:szCs w:val="21"/>
              </w:rPr>
              <w:t>比例</w:t>
            </w:r>
          </w:p>
        </w:tc>
        <w:tc>
          <w:tcPr>
            <w:tcW w:w="570" w:type="pct"/>
            <w:vMerge w:val="restart"/>
            <w:tcBorders>
              <w:top w:val="single" w:color="auto" w:sz="4" w:space="0"/>
              <w:left w:val="single" w:color="auto" w:sz="4" w:space="0"/>
              <w:right w:val="single" w:color="auto" w:sz="4" w:space="0"/>
            </w:tcBorders>
            <w:vAlign w:val="center"/>
          </w:tcPr>
          <w:p w14:paraId="1C17F3A6">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本次质押前累计质押数量(股)</w:t>
            </w:r>
          </w:p>
        </w:tc>
        <w:tc>
          <w:tcPr>
            <w:tcW w:w="583" w:type="pct"/>
            <w:vMerge w:val="restart"/>
            <w:tcBorders>
              <w:top w:val="single" w:color="auto" w:sz="4" w:space="0"/>
              <w:left w:val="single" w:color="auto" w:sz="4" w:space="0"/>
              <w:right w:val="single" w:color="auto" w:sz="4" w:space="0"/>
            </w:tcBorders>
            <w:vAlign w:val="center"/>
          </w:tcPr>
          <w:p w14:paraId="488B9D64">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本次质押后累计质押数量(股)</w:t>
            </w:r>
          </w:p>
        </w:tc>
        <w:tc>
          <w:tcPr>
            <w:tcW w:w="402" w:type="pct"/>
            <w:vMerge w:val="restart"/>
            <w:tcBorders>
              <w:top w:val="single" w:color="auto" w:sz="4" w:space="0"/>
              <w:left w:val="single" w:color="auto" w:sz="4" w:space="0"/>
              <w:right w:val="single" w:color="auto" w:sz="4" w:space="0"/>
            </w:tcBorders>
            <w:vAlign w:val="center"/>
          </w:tcPr>
          <w:p w14:paraId="686B4BEB">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8" w:type="pct"/>
            <w:vMerge w:val="restart"/>
            <w:tcBorders>
              <w:top w:val="single" w:color="auto" w:sz="4" w:space="0"/>
              <w:left w:val="single" w:color="auto" w:sz="4" w:space="0"/>
              <w:right w:val="single" w:color="auto" w:sz="4" w:space="0"/>
            </w:tcBorders>
            <w:vAlign w:val="center"/>
          </w:tcPr>
          <w:p w14:paraId="168A2A3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10" w:type="pct"/>
            <w:gridSpan w:val="2"/>
            <w:tcBorders>
              <w:top w:val="single" w:color="auto" w:sz="4" w:space="0"/>
              <w:left w:val="single" w:color="auto" w:sz="4" w:space="0"/>
              <w:bottom w:val="single" w:color="auto" w:sz="4" w:space="0"/>
              <w:right w:val="single" w:color="auto" w:sz="4" w:space="0"/>
            </w:tcBorders>
            <w:vAlign w:val="center"/>
          </w:tcPr>
          <w:p w14:paraId="5A57EC84">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810" w:type="pct"/>
            <w:gridSpan w:val="2"/>
            <w:tcBorders>
              <w:top w:val="single" w:color="auto" w:sz="4" w:space="0"/>
              <w:left w:val="single" w:color="auto" w:sz="4" w:space="0"/>
              <w:right w:val="single" w:color="auto" w:sz="4" w:space="0"/>
            </w:tcBorders>
            <w:vAlign w:val="center"/>
          </w:tcPr>
          <w:p w14:paraId="77F7F8A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5A50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28" w:type="pct"/>
            <w:vMerge w:val="continue"/>
            <w:tcBorders>
              <w:left w:val="single" w:color="auto" w:sz="4" w:space="0"/>
              <w:bottom w:val="single" w:color="auto" w:sz="4" w:space="0"/>
              <w:right w:val="single" w:color="auto" w:sz="4" w:space="0"/>
            </w:tcBorders>
            <w:vAlign w:val="center"/>
          </w:tcPr>
          <w:p w14:paraId="52DAA88B">
            <w:pPr>
              <w:jc w:val="center"/>
              <w:rPr>
                <w:rFonts w:hint="eastAsia" w:asciiTheme="minorEastAsia" w:hAnsiTheme="minorEastAsia" w:eastAsiaTheme="minorEastAsia"/>
                <w:szCs w:val="21"/>
              </w:rPr>
            </w:pPr>
          </w:p>
        </w:tc>
        <w:tc>
          <w:tcPr>
            <w:tcW w:w="623" w:type="pct"/>
            <w:vMerge w:val="continue"/>
            <w:tcBorders>
              <w:left w:val="single" w:color="auto" w:sz="4" w:space="0"/>
              <w:bottom w:val="single" w:color="auto" w:sz="4" w:space="0"/>
              <w:right w:val="single" w:color="auto" w:sz="4" w:space="0"/>
            </w:tcBorders>
            <w:vAlign w:val="center"/>
          </w:tcPr>
          <w:p w14:paraId="37166757">
            <w:pPr>
              <w:jc w:val="center"/>
              <w:rPr>
                <w:rFonts w:hint="eastAsia" w:asciiTheme="minorEastAsia" w:hAnsiTheme="minorEastAsia" w:eastAsiaTheme="minorEastAsia"/>
                <w:szCs w:val="21"/>
              </w:rPr>
            </w:pPr>
          </w:p>
        </w:tc>
        <w:tc>
          <w:tcPr>
            <w:tcW w:w="381" w:type="pct"/>
            <w:vMerge w:val="continue"/>
            <w:tcBorders>
              <w:left w:val="single" w:color="auto" w:sz="4" w:space="0"/>
              <w:bottom w:val="single" w:color="auto" w:sz="4" w:space="0"/>
              <w:right w:val="single" w:color="auto" w:sz="4" w:space="0"/>
            </w:tcBorders>
            <w:vAlign w:val="center"/>
          </w:tcPr>
          <w:p w14:paraId="047F5D3C">
            <w:pPr>
              <w:jc w:val="center"/>
              <w:rPr>
                <w:rFonts w:hint="eastAsia" w:asciiTheme="minorEastAsia" w:hAnsiTheme="minorEastAsia" w:eastAsiaTheme="minorEastAsia"/>
                <w:szCs w:val="21"/>
              </w:rPr>
            </w:pPr>
          </w:p>
        </w:tc>
        <w:tc>
          <w:tcPr>
            <w:tcW w:w="570" w:type="pct"/>
            <w:vMerge w:val="continue"/>
            <w:tcBorders>
              <w:left w:val="single" w:color="auto" w:sz="4" w:space="0"/>
              <w:bottom w:val="single" w:color="auto" w:sz="4" w:space="0"/>
              <w:right w:val="single" w:color="auto" w:sz="4" w:space="0"/>
            </w:tcBorders>
          </w:tcPr>
          <w:p w14:paraId="4B991818">
            <w:pPr>
              <w:jc w:val="center"/>
              <w:rPr>
                <w:rFonts w:hint="eastAsia" w:asciiTheme="minorEastAsia" w:hAnsiTheme="minorEastAsia" w:eastAsiaTheme="minorEastAsia"/>
                <w:szCs w:val="21"/>
              </w:rPr>
            </w:pPr>
          </w:p>
        </w:tc>
        <w:tc>
          <w:tcPr>
            <w:tcW w:w="583" w:type="pct"/>
            <w:vMerge w:val="continue"/>
            <w:tcBorders>
              <w:left w:val="single" w:color="auto" w:sz="4" w:space="0"/>
              <w:bottom w:val="single" w:color="auto" w:sz="4" w:space="0"/>
              <w:right w:val="single" w:color="auto" w:sz="4" w:space="0"/>
            </w:tcBorders>
            <w:vAlign w:val="center"/>
          </w:tcPr>
          <w:p w14:paraId="73850531">
            <w:pPr>
              <w:jc w:val="center"/>
              <w:rPr>
                <w:rFonts w:hint="eastAsia" w:asciiTheme="minorEastAsia" w:hAnsiTheme="minorEastAsia" w:eastAsiaTheme="minorEastAsia"/>
                <w:szCs w:val="21"/>
              </w:rPr>
            </w:pPr>
          </w:p>
        </w:tc>
        <w:tc>
          <w:tcPr>
            <w:tcW w:w="402" w:type="pct"/>
            <w:vMerge w:val="continue"/>
            <w:tcBorders>
              <w:left w:val="single" w:color="auto" w:sz="4" w:space="0"/>
              <w:bottom w:val="single" w:color="auto" w:sz="4" w:space="0"/>
              <w:right w:val="single" w:color="auto" w:sz="4" w:space="0"/>
            </w:tcBorders>
            <w:vAlign w:val="center"/>
          </w:tcPr>
          <w:p w14:paraId="27BF1542">
            <w:pPr>
              <w:jc w:val="center"/>
              <w:rPr>
                <w:rFonts w:hint="eastAsia" w:asciiTheme="minorEastAsia" w:hAnsiTheme="minorEastAsia" w:eastAsiaTheme="minorEastAsia"/>
                <w:szCs w:val="21"/>
              </w:rPr>
            </w:pPr>
          </w:p>
        </w:tc>
        <w:tc>
          <w:tcPr>
            <w:tcW w:w="388" w:type="pct"/>
            <w:vMerge w:val="continue"/>
            <w:tcBorders>
              <w:left w:val="single" w:color="auto" w:sz="4" w:space="0"/>
              <w:bottom w:val="single" w:color="auto" w:sz="4" w:space="0"/>
              <w:right w:val="single" w:color="auto" w:sz="4" w:space="0"/>
            </w:tcBorders>
            <w:vAlign w:val="center"/>
          </w:tcPr>
          <w:p w14:paraId="42B704D6">
            <w:pPr>
              <w:jc w:val="center"/>
              <w:rPr>
                <w:rFonts w:hint="eastAsia" w:asciiTheme="minorEastAsia" w:hAnsiTheme="minorEastAsia" w:eastAsiaTheme="minorEastAsia"/>
                <w:szCs w:val="21"/>
              </w:rPr>
            </w:pPr>
          </w:p>
        </w:tc>
        <w:tc>
          <w:tcPr>
            <w:tcW w:w="406" w:type="pct"/>
            <w:tcBorders>
              <w:top w:val="single" w:color="auto" w:sz="4" w:space="0"/>
              <w:left w:val="single" w:color="auto" w:sz="4" w:space="0"/>
              <w:bottom w:val="single" w:color="auto" w:sz="4" w:space="0"/>
              <w:right w:val="single" w:color="auto" w:sz="4" w:space="0"/>
            </w:tcBorders>
            <w:vAlign w:val="center"/>
          </w:tcPr>
          <w:p w14:paraId="43099CD3">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404" w:type="pct"/>
            <w:tcBorders>
              <w:left w:val="single" w:color="auto" w:sz="4" w:space="0"/>
              <w:bottom w:val="single" w:color="auto" w:sz="4" w:space="0"/>
              <w:right w:val="single" w:color="auto" w:sz="4" w:space="0"/>
            </w:tcBorders>
            <w:vAlign w:val="center"/>
          </w:tcPr>
          <w:p w14:paraId="3843E412">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78" w:type="pct"/>
            <w:tcBorders>
              <w:left w:val="single" w:color="auto" w:sz="4" w:space="0"/>
              <w:bottom w:val="single" w:color="auto" w:sz="4" w:space="0"/>
              <w:right w:val="single" w:color="auto" w:sz="4" w:space="0"/>
            </w:tcBorders>
            <w:vAlign w:val="center"/>
          </w:tcPr>
          <w:p w14:paraId="06B32B35">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432" w:type="pct"/>
            <w:tcBorders>
              <w:left w:val="single" w:color="auto" w:sz="4" w:space="0"/>
              <w:bottom w:val="single" w:color="auto" w:sz="4" w:space="0"/>
              <w:right w:val="single" w:color="auto" w:sz="4" w:space="0"/>
            </w:tcBorders>
            <w:vAlign w:val="center"/>
          </w:tcPr>
          <w:p w14:paraId="02ECFBB0">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6AC3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28" w:type="pct"/>
            <w:tcBorders>
              <w:top w:val="single" w:color="auto" w:sz="4" w:space="0"/>
              <w:left w:val="single" w:color="auto" w:sz="4" w:space="0"/>
              <w:bottom w:val="single" w:color="auto" w:sz="4" w:space="0"/>
              <w:right w:val="single" w:color="auto" w:sz="4" w:space="0"/>
            </w:tcBorders>
            <w:vAlign w:val="center"/>
          </w:tcPr>
          <w:p w14:paraId="22712761">
            <w:pPr>
              <w:widowControl/>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苏州吴中投资控股有限公司</w:t>
            </w:r>
          </w:p>
        </w:tc>
        <w:tc>
          <w:tcPr>
            <w:tcW w:w="623" w:type="pct"/>
            <w:tcBorders>
              <w:top w:val="single" w:color="auto" w:sz="4" w:space="0"/>
              <w:left w:val="single" w:color="auto" w:sz="4" w:space="0"/>
              <w:bottom w:val="single" w:color="auto" w:sz="4" w:space="0"/>
              <w:right w:val="single" w:color="auto" w:sz="4" w:space="0"/>
            </w:tcBorders>
            <w:vAlign w:val="center"/>
          </w:tcPr>
          <w:p w14:paraId="07A5D095">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1" w:type="pct"/>
            <w:tcBorders>
              <w:top w:val="single" w:color="auto" w:sz="4" w:space="0"/>
              <w:left w:val="single" w:color="auto" w:sz="4" w:space="0"/>
              <w:bottom w:val="single" w:color="auto" w:sz="4" w:space="0"/>
              <w:right w:val="single" w:color="auto" w:sz="4" w:space="0"/>
            </w:tcBorders>
            <w:vAlign w:val="center"/>
          </w:tcPr>
          <w:p w14:paraId="7447485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570" w:type="pct"/>
            <w:tcBorders>
              <w:top w:val="single" w:color="auto" w:sz="4" w:space="0"/>
              <w:left w:val="single" w:color="auto" w:sz="4" w:space="0"/>
              <w:bottom w:val="single" w:color="auto" w:sz="4" w:space="0"/>
              <w:right w:val="single" w:color="auto" w:sz="4" w:space="0"/>
            </w:tcBorders>
            <w:vAlign w:val="center"/>
          </w:tcPr>
          <w:p w14:paraId="5156791F">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84,550,000</w:t>
            </w:r>
          </w:p>
        </w:tc>
        <w:tc>
          <w:tcPr>
            <w:tcW w:w="583" w:type="pct"/>
            <w:tcBorders>
              <w:top w:val="single" w:color="auto" w:sz="4" w:space="0"/>
              <w:left w:val="single" w:color="auto" w:sz="4" w:space="0"/>
              <w:bottom w:val="single" w:color="auto" w:sz="4" w:space="0"/>
              <w:right w:val="single" w:color="auto" w:sz="4" w:space="0"/>
            </w:tcBorders>
            <w:vAlign w:val="center"/>
          </w:tcPr>
          <w:p w14:paraId="204B418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91,750,000</w:t>
            </w:r>
          </w:p>
        </w:tc>
        <w:tc>
          <w:tcPr>
            <w:tcW w:w="402" w:type="pct"/>
            <w:tcBorders>
              <w:top w:val="single" w:color="auto" w:sz="4" w:space="0"/>
              <w:left w:val="single" w:color="auto" w:sz="4" w:space="0"/>
              <w:bottom w:val="single" w:color="auto" w:sz="4" w:space="0"/>
              <w:right w:val="single" w:color="auto" w:sz="4" w:space="0"/>
            </w:tcBorders>
            <w:vAlign w:val="center"/>
          </w:tcPr>
          <w:p w14:paraId="2022EEA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74.72%</w:t>
            </w:r>
          </w:p>
        </w:tc>
        <w:tc>
          <w:tcPr>
            <w:tcW w:w="388" w:type="pct"/>
            <w:tcBorders>
              <w:top w:val="single" w:color="auto" w:sz="4" w:space="0"/>
              <w:left w:val="single" w:color="auto" w:sz="4" w:space="0"/>
              <w:bottom w:val="single" w:color="auto" w:sz="4" w:space="0"/>
              <w:right w:val="single" w:color="auto" w:sz="4" w:space="0"/>
            </w:tcBorders>
            <w:vAlign w:val="center"/>
          </w:tcPr>
          <w:p w14:paraId="2C999DF2">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12.88%</w:t>
            </w:r>
          </w:p>
        </w:tc>
        <w:tc>
          <w:tcPr>
            <w:tcW w:w="406" w:type="pct"/>
            <w:tcBorders>
              <w:top w:val="single" w:color="auto" w:sz="4" w:space="0"/>
              <w:left w:val="single" w:color="auto" w:sz="4" w:space="0"/>
              <w:bottom w:val="single" w:color="auto" w:sz="4" w:space="0"/>
              <w:right w:val="single" w:color="auto" w:sz="4" w:space="0"/>
            </w:tcBorders>
            <w:vAlign w:val="center"/>
          </w:tcPr>
          <w:p w14:paraId="4C5FE73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04" w:type="pct"/>
            <w:tcBorders>
              <w:top w:val="single" w:color="auto" w:sz="4" w:space="0"/>
              <w:left w:val="single" w:color="auto" w:sz="4" w:space="0"/>
              <w:bottom w:val="single" w:color="auto" w:sz="4" w:space="0"/>
              <w:right w:val="single" w:color="auto" w:sz="4" w:space="0"/>
            </w:tcBorders>
            <w:vAlign w:val="center"/>
          </w:tcPr>
          <w:p w14:paraId="520A6F89">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378" w:type="pct"/>
            <w:tcBorders>
              <w:top w:val="single" w:color="auto" w:sz="4" w:space="0"/>
              <w:left w:val="single" w:color="auto" w:sz="4" w:space="0"/>
              <w:bottom w:val="single" w:color="auto" w:sz="4" w:space="0"/>
              <w:right w:val="single" w:color="auto" w:sz="4" w:space="0"/>
            </w:tcBorders>
            <w:vAlign w:val="center"/>
          </w:tcPr>
          <w:p w14:paraId="07A6D98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32" w:type="pct"/>
            <w:tcBorders>
              <w:top w:val="single" w:color="auto" w:sz="4" w:space="0"/>
              <w:left w:val="single" w:color="auto" w:sz="4" w:space="0"/>
              <w:bottom w:val="single" w:color="auto" w:sz="4" w:space="0"/>
              <w:right w:val="single" w:color="auto" w:sz="4" w:space="0"/>
            </w:tcBorders>
            <w:vAlign w:val="center"/>
          </w:tcPr>
          <w:p w14:paraId="0ADBD3E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r>
      <w:tr w14:paraId="7BF9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28" w:type="pct"/>
            <w:tcBorders>
              <w:top w:val="single" w:color="auto" w:sz="4" w:space="0"/>
              <w:left w:val="single" w:color="auto" w:sz="4" w:space="0"/>
              <w:bottom w:val="single" w:color="auto" w:sz="4" w:space="0"/>
              <w:right w:val="single" w:color="auto" w:sz="4" w:space="0"/>
            </w:tcBorders>
            <w:vAlign w:val="center"/>
          </w:tcPr>
          <w:p w14:paraId="612D8EE0">
            <w:pPr>
              <w:widowControl/>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合计</w:t>
            </w:r>
          </w:p>
        </w:tc>
        <w:tc>
          <w:tcPr>
            <w:tcW w:w="623" w:type="pct"/>
            <w:tcBorders>
              <w:top w:val="single" w:color="auto" w:sz="4" w:space="0"/>
              <w:left w:val="single" w:color="auto" w:sz="4" w:space="0"/>
              <w:bottom w:val="single" w:color="auto" w:sz="4" w:space="0"/>
              <w:right w:val="single" w:color="auto" w:sz="4" w:space="0"/>
            </w:tcBorders>
            <w:vAlign w:val="center"/>
          </w:tcPr>
          <w:p w14:paraId="230EEF0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1" w:type="pct"/>
            <w:tcBorders>
              <w:top w:val="single" w:color="auto" w:sz="4" w:space="0"/>
              <w:left w:val="single" w:color="auto" w:sz="4" w:space="0"/>
              <w:bottom w:val="single" w:color="auto" w:sz="4" w:space="0"/>
              <w:right w:val="single" w:color="auto" w:sz="4" w:space="0"/>
            </w:tcBorders>
            <w:vAlign w:val="center"/>
          </w:tcPr>
          <w:p w14:paraId="3B6C7CE6">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1277" w:type="dxa"/>
            <w:tcBorders>
              <w:top w:val="single" w:color="auto" w:sz="4" w:space="0"/>
              <w:left w:val="single" w:color="auto" w:sz="4" w:space="0"/>
              <w:bottom w:val="single" w:color="auto" w:sz="4" w:space="0"/>
              <w:right w:val="single" w:color="auto" w:sz="4" w:space="0"/>
            </w:tcBorders>
            <w:vAlign w:val="center"/>
          </w:tcPr>
          <w:p w14:paraId="10C65F92">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84,550,000</w:t>
            </w:r>
          </w:p>
        </w:tc>
        <w:tc>
          <w:tcPr>
            <w:tcW w:w="1306" w:type="dxa"/>
            <w:tcBorders>
              <w:top w:val="single" w:color="auto" w:sz="4" w:space="0"/>
              <w:left w:val="single" w:color="auto" w:sz="4" w:space="0"/>
              <w:bottom w:val="single" w:color="auto" w:sz="4" w:space="0"/>
              <w:right w:val="single" w:color="auto" w:sz="4" w:space="0"/>
            </w:tcBorders>
            <w:vAlign w:val="center"/>
          </w:tcPr>
          <w:p w14:paraId="6F4632D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91,750,000</w:t>
            </w:r>
          </w:p>
        </w:tc>
        <w:tc>
          <w:tcPr>
            <w:tcW w:w="901" w:type="dxa"/>
            <w:tcBorders>
              <w:top w:val="single" w:color="auto" w:sz="4" w:space="0"/>
              <w:left w:val="single" w:color="auto" w:sz="4" w:space="0"/>
              <w:bottom w:val="single" w:color="auto" w:sz="4" w:space="0"/>
              <w:right w:val="single" w:color="auto" w:sz="4" w:space="0"/>
            </w:tcBorders>
            <w:vAlign w:val="center"/>
          </w:tcPr>
          <w:p w14:paraId="3F343B06">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74.72%</w:t>
            </w:r>
          </w:p>
        </w:tc>
        <w:tc>
          <w:tcPr>
            <w:tcW w:w="869" w:type="dxa"/>
            <w:tcBorders>
              <w:top w:val="single" w:color="auto" w:sz="4" w:space="0"/>
              <w:left w:val="single" w:color="auto" w:sz="4" w:space="0"/>
              <w:bottom w:val="single" w:color="auto" w:sz="4" w:space="0"/>
              <w:right w:val="single" w:color="auto" w:sz="4" w:space="0"/>
            </w:tcBorders>
            <w:vAlign w:val="center"/>
          </w:tcPr>
          <w:p w14:paraId="08FF26C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12.88%</w:t>
            </w:r>
          </w:p>
        </w:tc>
        <w:tc>
          <w:tcPr>
            <w:tcW w:w="406" w:type="pct"/>
            <w:tcBorders>
              <w:top w:val="single" w:color="auto" w:sz="4" w:space="0"/>
              <w:left w:val="single" w:color="auto" w:sz="4" w:space="0"/>
              <w:bottom w:val="single" w:color="auto" w:sz="4" w:space="0"/>
              <w:right w:val="single" w:color="auto" w:sz="4" w:space="0"/>
            </w:tcBorders>
            <w:vAlign w:val="center"/>
          </w:tcPr>
          <w:p w14:paraId="30230835">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04" w:type="pct"/>
            <w:tcBorders>
              <w:top w:val="single" w:color="auto" w:sz="4" w:space="0"/>
              <w:left w:val="single" w:color="auto" w:sz="4" w:space="0"/>
              <w:bottom w:val="single" w:color="auto" w:sz="4" w:space="0"/>
              <w:right w:val="single" w:color="auto" w:sz="4" w:space="0"/>
            </w:tcBorders>
            <w:vAlign w:val="center"/>
          </w:tcPr>
          <w:p w14:paraId="47FB45A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378" w:type="pct"/>
            <w:tcBorders>
              <w:top w:val="single" w:color="auto" w:sz="4" w:space="0"/>
              <w:left w:val="single" w:color="auto" w:sz="4" w:space="0"/>
              <w:bottom w:val="single" w:color="auto" w:sz="4" w:space="0"/>
              <w:right w:val="single" w:color="auto" w:sz="4" w:space="0"/>
            </w:tcBorders>
            <w:vAlign w:val="center"/>
          </w:tcPr>
          <w:p w14:paraId="615E3E46">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32" w:type="pct"/>
            <w:tcBorders>
              <w:top w:val="single" w:color="auto" w:sz="4" w:space="0"/>
              <w:left w:val="single" w:color="auto" w:sz="4" w:space="0"/>
              <w:bottom w:val="single" w:color="auto" w:sz="4" w:space="0"/>
              <w:right w:val="single" w:color="auto" w:sz="4" w:space="0"/>
            </w:tcBorders>
            <w:vAlign w:val="center"/>
          </w:tcPr>
          <w:p w14:paraId="5C1B245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r>
    </w:tbl>
    <w:p w14:paraId="6F9C29F7">
      <w:pPr>
        <w:spacing w:line="420" w:lineRule="exact"/>
        <w:ind w:firstLine="480" w:firstLineChars="200"/>
        <w:rPr>
          <w:rFonts w:hint="eastAsia" w:asciiTheme="minorEastAsia" w:hAnsiTheme="minorEastAsia" w:eastAsiaTheme="minorEastAsia"/>
          <w:sz w:val="24"/>
        </w:rPr>
      </w:pPr>
    </w:p>
    <w:p w14:paraId="32315940">
      <w:pPr>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二、控股股东股份质押情况</w:t>
      </w:r>
    </w:p>
    <w:p w14:paraId="78816D55">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1、控股股东未来半年内到期的质押股份数量为9</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600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000股，占其所持股份比例7.82%，占公司总股本比例为1.35%，对应融资余额为4</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000万元；</w:t>
      </w:r>
    </w:p>
    <w:p w14:paraId="0A22380A">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控股股东未来一年内到期的质押股份数量为12</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000股，占其所持股份比例9.77%，占公司总股本比例为1.68%，对应融资余额为4</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995万元。</w:t>
      </w:r>
    </w:p>
    <w:p w14:paraId="57FC3A9C">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控股股东具备相应的资金偿还能力，还款资金来源包括经营性现金流、投资收益等。</w:t>
      </w:r>
    </w:p>
    <w:p w14:paraId="646F0195">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2、控股股东不存在通过非经营性资金占用、违规担保、关联交易等侵害上市公司利益的情况。</w:t>
      </w:r>
    </w:p>
    <w:p w14:paraId="6EE6867D">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3、控股股东质押事项对上市公司的影响</w:t>
      </w:r>
    </w:p>
    <w:p w14:paraId="5552D74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（1）本次质押事项不会对公司生产经营、主营业务、融资授信及融资成本、持续经营能力产生影响。</w:t>
      </w:r>
    </w:p>
    <w:p w14:paraId="0833B59C">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事项不会对公司治理造成影响，公司的董事会成员不会因此产生变动，控股股东与公司在产权、业务、资产、人员等方面相互独立，不会导致公司实际控制权的变更。公司的股权结构不会因此发生变化，不会对公司日常管理产生影响。</w:t>
      </w:r>
    </w:p>
    <w:p w14:paraId="1ACEBB70">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（3）公司控股股东不存在业绩补偿义务。</w:t>
      </w:r>
    </w:p>
    <w:p w14:paraId="00B396BC">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控股股东的财务状况和资信状况良好，质押风险在可控范围之内。本次质押不存在可能引发平仓或被强制平仓的情况，不存在可能导致公司实际控制权发生变更的实质性因素。如后续出现风险，控股股东将采取包括但不限于补充质押、提前还款等措施加以应对。</w:t>
      </w:r>
    </w:p>
    <w:p w14:paraId="21D67F7C">
      <w:pPr>
        <w:spacing w:line="420" w:lineRule="exact"/>
        <w:ind w:firstLine="480" w:firstLineChars="200"/>
        <w:rPr>
          <w:rFonts w:hint="eastAsia" w:asciiTheme="minorEastAsia" w:hAnsiTheme="minorEastAsia" w:eastAsiaTheme="minorEastAsia"/>
          <w:sz w:val="24"/>
        </w:rPr>
      </w:pPr>
    </w:p>
    <w:p w14:paraId="3791FF44">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特此公告。</w:t>
      </w:r>
    </w:p>
    <w:p w14:paraId="441A4EB4">
      <w:pPr>
        <w:spacing w:line="420" w:lineRule="exact"/>
        <w:ind w:firstLine="480" w:firstLineChars="200"/>
        <w:rPr>
          <w:rFonts w:hint="eastAsia" w:asciiTheme="minorEastAsia" w:hAnsiTheme="minorEastAsia" w:eastAsiaTheme="minorEastAsia"/>
          <w:sz w:val="24"/>
        </w:rPr>
      </w:pPr>
    </w:p>
    <w:p w14:paraId="4159F103">
      <w:pPr>
        <w:spacing w:line="420" w:lineRule="exact"/>
        <w:ind w:firstLine="480" w:firstLineChars="200"/>
        <w:rPr>
          <w:rFonts w:hint="eastAsia" w:asciiTheme="minorEastAsia" w:hAnsiTheme="minorEastAsia" w:eastAsiaTheme="minorEastAsia"/>
          <w:sz w:val="24"/>
        </w:rPr>
      </w:pPr>
    </w:p>
    <w:p w14:paraId="5E15D587">
      <w:pPr>
        <w:pStyle w:val="4"/>
        <w:adjustRightInd w:val="0"/>
        <w:snapToGrid w:val="0"/>
        <w:spacing w:before="0" w:beforeAutospacing="0" w:after="0" w:afterAutospacing="0" w:line="420" w:lineRule="exact"/>
        <w:ind w:firstLine="480" w:firstLineChars="200"/>
        <w:jc w:val="right"/>
        <w:rPr>
          <w:rFonts w:hint="eastAsia" w:cs="Arial"/>
        </w:rPr>
      </w:pPr>
      <w:r>
        <w:rPr>
          <w:rFonts w:hint="eastAsia" w:cs="Arial"/>
        </w:rPr>
        <w:t>江苏吴中医药发展股份有限公司</w:t>
      </w:r>
    </w:p>
    <w:p w14:paraId="444A3CD2">
      <w:pPr>
        <w:pStyle w:val="4"/>
        <w:adjustRightInd w:val="0"/>
        <w:snapToGrid w:val="0"/>
        <w:spacing w:before="0" w:beforeAutospacing="0" w:after="0" w:afterAutospacing="0" w:line="420" w:lineRule="exact"/>
        <w:ind w:right="720" w:firstLine="480" w:firstLineChars="200"/>
        <w:jc w:val="right"/>
        <w:rPr>
          <w:rFonts w:hint="eastAsia" w:cs="Arial"/>
        </w:rPr>
      </w:pPr>
      <w:r>
        <w:rPr>
          <w:rFonts w:hint="eastAsia" w:cs="Arial"/>
        </w:rPr>
        <w:t xml:space="preserve">董事会      </w:t>
      </w:r>
    </w:p>
    <w:p w14:paraId="47789A97">
      <w:pPr>
        <w:pStyle w:val="4"/>
        <w:adjustRightInd w:val="0"/>
        <w:snapToGrid w:val="0"/>
        <w:spacing w:before="0" w:beforeAutospacing="0" w:after="0" w:afterAutospacing="0" w:line="420" w:lineRule="exact"/>
        <w:ind w:firstLine="480" w:firstLineChars="200"/>
        <w:jc w:val="right"/>
        <w:rPr>
          <w:rFonts w:hint="eastAsia" w:asciiTheme="minorEastAsia" w:hAnsiTheme="minorEastAsia" w:eastAsiaTheme="minorEastAsia"/>
        </w:rPr>
      </w:pPr>
      <w:r>
        <w:rPr>
          <w:rFonts w:hint="eastAsia" w:cs="Arial"/>
        </w:rPr>
        <w:t>20</w:t>
      </w:r>
      <w:r>
        <w:rPr>
          <w:rFonts w:hint="eastAsia" w:cs="Arial"/>
          <w:highlight w:val="none"/>
        </w:rPr>
        <w:t>24年10月</w:t>
      </w:r>
      <w:r>
        <w:rPr>
          <w:rFonts w:hint="eastAsia" w:cs="Arial"/>
          <w:highlight w:val="none"/>
          <w:lang w:val="en-US" w:eastAsia="zh-CN"/>
        </w:rPr>
        <w:t>26</w:t>
      </w:r>
      <w:r>
        <w:rPr>
          <w:rFonts w:hint="eastAsia" w:cs="Arial"/>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CD7E0F"/>
    <w:multiLevelType w:val="multilevel"/>
    <w:tmpl w:val="28CD7E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4B1CF2"/>
    <w:rsid w:val="0001153F"/>
    <w:rsid w:val="00015559"/>
    <w:rsid w:val="0003171D"/>
    <w:rsid w:val="000377FA"/>
    <w:rsid w:val="000514F9"/>
    <w:rsid w:val="000A5D05"/>
    <w:rsid w:val="000C1EBF"/>
    <w:rsid w:val="000D5160"/>
    <w:rsid w:val="000E5928"/>
    <w:rsid w:val="001044FC"/>
    <w:rsid w:val="00115DE0"/>
    <w:rsid w:val="00125EB5"/>
    <w:rsid w:val="00141A30"/>
    <w:rsid w:val="0014235B"/>
    <w:rsid w:val="001449C0"/>
    <w:rsid w:val="00163205"/>
    <w:rsid w:val="00167B35"/>
    <w:rsid w:val="001761BA"/>
    <w:rsid w:val="00184711"/>
    <w:rsid w:val="00197104"/>
    <w:rsid w:val="001A6F91"/>
    <w:rsid w:val="001D1578"/>
    <w:rsid w:val="001D1E21"/>
    <w:rsid w:val="001E528D"/>
    <w:rsid w:val="001F698F"/>
    <w:rsid w:val="00203BD0"/>
    <w:rsid w:val="00236894"/>
    <w:rsid w:val="002442A3"/>
    <w:rsid w:val="00251C73"/>
    <w:rsid w:val="0025726D"/>
    <w:rsid w:val="0025795B"/>
    <w:rsid w:val="0027220C"/>
    <w:rsid w:val="002808AB"/>
    <w:rsid w:val="00284CD2"/>
    <w:rsid w:val="00294FF0"/>
    <w:rsid w:val="00295E92"/>
    <w:rsid w:val="002B7CCB"/>
    <w:rsid w:val="002C71E7"/>
    <w:rsid w:val="002D2369"/>
    <w:rsid w:val="002E5A55"/>
    <w:rsid w:val="002F6DF4"/>
    <w:rsid w:val="002F74DC"/>
    <w:rsid w:val="00324EB8"/>
    <w:rsid w:val="0033232D"/>
    <w:rsid w:val="0036788A"/>
    <w:rsid w:val="0037324C"/>
    <w:rsid w:val="00373349"/>
    <w:rsid w:val="00375CF7"/>
    <w:rsid w:val="003870CC"/>
    <w:rsid w:val="003A3A1A"/>
    <w:rsid w:val="003B5345"/>
    <w:rsid w:val="003C607D"/>
    <w:rsid w:val="003D0C3B"/>
    <w:rsid w:val="003D3FFF"/>
    <w:rsid w:val="003E355B"/>
    <w:rsid w:val="003F1B67"/>
    <w:rsid w:val="0041130A"/>
    <w:rsid w:val="0041720E"/>
    <w:rsid w:val="004502F4"/>
    <w:rsid w:val="00496E8A"/>
    <w:rsid w:val="004A3EBD"/>
    <w:rsid w:val="004B1CF2"/>
    <w:rsid w:val="004C27B9"/>
    <w:rsid w:val="004C3DB4"/>
    <w:rsid w:val="004E363D"/>
    <w:rsid w:val="004F1ED6"/>
    <w:rsid w:val="004F1F15"/>
    <w:rsid w:val="004F4484"/>
    <w:rsid w:val="0054311D"/>
    <w:rsid w:val="0056118D"/>
    <w:rsid w:val="005619BD"/>
    <w:rsid w:val="005712CB"/>
    <w:rsid w:val="00577CBB"/>
    <w:rsid w:val="00584E96"/>
    <w:rsid w:val="00587ACB"/>
    <w:rsid w:val="005B4F18"/>
    <w:rsid w:val="005C3668"/>
    <w:rsid w:val="005D4ACB"/>
    <w:rsid w:val="005E022D"/>
    <w:rsid w:val="00600AB1"/>
    <w:rsid w:val="006125A1"/>
    <w:rsid w:val="00615D49"/>
    <w:rsid w:val="006412D7"/>
    <w:rsid w:val="00651610"/>
    <w:rsid w:val="00662769"/>
    <w:rsid w:val="00683AED"/>
    <w:rsid w:val="00695D72"/>
    <w:rsid w:val="006A085A"/>
    <w:rsid w:val="006B29CA"/>
    <w:rsid w:val="006B2B65"/>
    <w:rsid w:val="006B62AB"/>
    <w:rsid w:val="006C5CAA"/>
    <w:rsid w:val="006D6E76"/>
    <w:rsid w:val="006F3B01"/>
    <w:rsid w:val="007001F0"/>
    <w:rsid w:val="007014FC"/>
    <w:rsid w:val="00755B27"/>
    <w:rsid w:val="007564B5"/>
    <w:rsid w:val="007613E3"/>
    <w:rsid w:val="007648C4"/>
    <w:rsid w:val="00766EEB"/>
    <w:rsid w:val="00772A33"/>
    <w:rsid w:val="007C7BAF"/>
    <w:rsid w:val="007D2CBB"/>
    <w:rsid w:val="00802A0A"/>
    <w:rsid w:val="008368D8"/>
    <w:rsid w:val="00887DA0"/>
    <w:rsid w:val="00893296"/>
    <w:rsid w:val="008935D4"/>
    <w:rsid w:val="008C55C0"/>
    <w:rsid w:val="008E57CC"/>
    <w:rsid w:val="008F5155"/>
    <w:rsid w:val="008F6AB5"/>
    <w:rsid w:val="00933FA5"/>
    <w:rsid w:val="00934104"/>
    <w:rsid w:val="009515F8"/>
    <w:rsid w:val="00955A3F"/>
    <w:rsid w:val="00960430"/>
    <w:rsid w:val="00967AA4"/>
    <w:rsid w:val="009D6E6F"/>
    <w:rsid w:val="00A014DA"/>
    <w:rsid w:val="00A05A16"/>
    <w:rsid w:val="00A267F9"/>
    <w:rsid w:val="00A47583"/>
    <w:rsid w:val="00A72B4C"/>
    <w:rsid w:val="00A7472E"/>
    <w:rsid w:val="00A842DF"/>
    <w:rsid w:val="00AA10D4"/>
    <w:rsid w:val="00AB2664"/>
    <w:rsid w:val="00AC7ABF"/>
    <w:rsid w:val="00AE23F2"/>
    <w:rsid w:val="00B07E79"/>
    <w:rsid w:val="00B31A8D"/>
    <w:rsid w:val="00B36025"/>
    <w:rsid w:val="00B37855"/>
    <w:rsid w:val="00B52013"/>
    <w:rsid w:val="00B834BA"/>
    <w:rsid w:val="00B84C52"/>
    <w:rsid w:val="00B87AB6"/>
    <w:rsid w:val="00BB5C59"/>
    <w:rsid w:val="00BB5F62"/>
    <w:rsid w:val="00BB62E9"/>
    <w:rsid w:val="00BC7D27"/>
    <w:rsid w:val="00BF68F7"/>
    <w:rsid w:val="00C01D90"/>
    <w:rsid w:val="00C14435"/>
    <w:rsid w:val="00C2438F"/>
    <w:rsid w:val="00C43D53"/>
    <w:rsid w:val="00C71DAA"/>
    <w:rsid w:val="00C77455"/>
    <w:rsid w:val="00C84B46"/>
    <w:rsid w:val="00C8677A"/>
    <w:rsid w:val="00CA4B90"/>
    <w:rsid w:val="00CA7BF4"/>
    <w:rsid w:val="00CC65AD"/>
    <w:rsid w:val="00CD2A4D"/>
    <w:rsid w:val="00CD5891"/>
    <w:rsid w:val="00CD6EAB"/>
    <w:rsid w:val="00CF2676"/>
    <w:rsid w:val="00CF42BE"/>
    <w:rsid w:val="00D04CBB"/>
    <w:rsid w:val="00D21B8D"/>
    <w:rsid w:val="00D23FBF"/>
    <w:rsid w:val="00D26D15"/>
    <w:rsid w:val="00D45281"/>
    <w:rsid w:val="00D53DC4"/>
    <w:rsid w:val="00D564BF"/>
    <w:rsid w:val="00D86A2F"/>
    <w:rsid w:val="00D90BC6"/>
    <w:rsid w:val="00DC0BBB"/>
    <w:rsid w:val="00DC74FC"/>
    <w:rsid w:val="00DD1CD7"/>
    <w:rsid w:val="00E003D0"/>
    <w:rsid w:val="00E025CD"/>
    <w:rsid w:val="00E05034"/>
    <w:rsid w:val="00E220DE"/>
    <w:rsid w:val="00E3185C"/>
    <w:rsid w:val="00E43FEF"/>
    <w:rsid w:val="00E46A2B"/>
    <w:rsid w:val="00E74755"/>
    <w:rsid w:val="00E77D37"/>
    <w:rsid w:val="00E9529E"/>
    <w:rsid w:val="00E96761"/>
    <w:rsid w:val="00EA6444"/>
    <w:rsid w:val="00EB6BD3"/>
    <w:rsid w:val="00EB7FBA"/>
    <w:rsid w:val="00EF67AA"/>
    <w:rsid w:val="00F03FA2"/>
    <w:rsid w:val="00F168FB"/>
    <w:rsid w:val="00F21312"/>
    <w:rsid w:val="00F23D77"/>
    <w:rsid w:val="00F25299"/>
    <w:rsid w:val="00F642E6"/>
    <w:rsid w:val="00F6574C"/>
    <w:rsid w:val="00FA5496"/>
    <w:rsid w:val="00FB56C5"/>
    <w:rsid w:val="00FB79DD"/>
    <w:rsid w:val="00FE4FBE"/>
    <w:rsid w:val="00FE5ACA"/>
    <w:rsid w:val="023F2212"/>
    <w:rsid w:val="03B15391"/>
    <w:rsid w:val="05DF4D8A"/>
    <w:rsid w:val="068858C6"/>
    <w:rsid w:val="06D810C3"/>
    <w:rsid w:val="084C109D"/>
    <w:rsid w:val="08803584"/>
    <w:rsid w:val="089F7712"/>
    <w:rsid w:val="09D27E0F"/>
    <w:rsid w:val="0A2772DF"/>
    <w:rsid w:val="0CA34463"/>
    <w:rsid w:val="0D0E73B0"/>
    <w:rsid w:val="0D1B557D"/>
    <w:rsid w:val="0DE57A5E"/>
    <w:rsid w:val="0E7E2314"/>
    <w:rsid w:val="103E3AEC"/>
    <w:rsid w:val="123C051C"/>
    <w:rsid w:val="13712447"/>
    <w:rsid w:val="1380268A"/>
    <w:rsid w:val="145853B5"/>
    <w:rsid w:val="14661880"/>
    <w:rsid w:val="15984BA7"/>
    <w:rsid w:val="16325598"/>
    <w:rsid w:val="171750B3"/>
    <w:rsid w:val="17AC1CA0"/>
    <w:rsid w:val="18A85B6C"/>
    <w:rsid w:val="190D49C0"/>
    <w:rsid w:val="198E403D"/>
    <w:rsid w:val="1A725422"/>
    <w:rsid w:val="1CBA09BB"/>
    <w:rsid w:val="1CDF6673"/>
    <w:rsid w:val="1CF04C3B"/>
    <w:rsid w:val="1E82375A"/>
    <w:rsid w:val="1EBF675C"/>
    <w:rsid w:val="1F013CF9"/>
    <w:rsid w:val="1F980D5B"/>
    <w:rsid w:val="1FF561AE"/>
    <w:rsid w:val="209459C7"/>
    <w:rsid w:val="20A24E03"/>
    <w:rsid w:val="21395743"/>
    <w:rsid w:val="219A525F"/>
    <w:rsid w:val="22564055"/>
    <w:rsid w:val="23082BE6"/>
    <w:rsid w:val="240A6253"/>
    <w:rsid w:val="26073C29"/>
    <w:rsid w:val="263411BB"/>
    <w:rsid w:val="273D4376"/>
    <w:rsid w:val="277200BB"/>
    <w:rsid w:val="277D71B5"/>
    <w:rsid w:val="27C82043"/>
    <w:rsid w:val="282C169F"/>
    <w:rsid w:val="28AF0904"/>
    <w:rsid w:val="29886EE6"/>
    <w:rsid w:val="2B900159"/>
    <w:rsid w:val="2C4B7881"/>
    <w:rsid w:val="2DD719F4"/>
    <w:rsid w:val="2E0B376C"/>
    <w:rsid w:val="2EC944DF"/>
    <w:rsid w:val="2F171C9D"/>
    <w:rsid w:val="2F682666"/>
    <w:rsid w:val="30E07406"/>
    <w:rsid w:val="32426081"/>
    <w:rsid w:val="35845BB2"/>
    <w:rsid w:val="35FB0A81"/>
    <w:rsid w:val="36140CE4"/>
    <w:rsid w:val="37EE5C0F"/>
    <w:rsid w:val="384F42A3"/>
    <w:rsid w:val="38C764E2"/>
    <w:rsid w:val="394418E0"/>
    <w:rsid w:val="3971469F"/>
    <w:rsid w:val="39B30324"/>
    <w:rsid w:val="39D94971"/>
    <w:rsid w:val="3B043A1D"/>
    <w:rsid w:val="3B570BFC"/>
    <w:rsid w:val="3C1E5FF6"/>
    <w:rsid w:val="3C805325"/>
    <w:rsid w:val="3D2757A1"/>
    <w:rsid w:val="3F2C52F0"/>
    <w:rsid w:val="3FA95A4C"/>
    <w:rsid w:val="41823372"/>
    <w:rsid w:val="42637904"/>
    <w:rsid w:val="427A45C5"/>
    <w:rsid w:val="44A127CA"/>
    <w:rsid w:val="463902F3"/>
    <w:rsid w:val="468240BB"/>
    <w:rsid w:val="47AA14A8"/>
    <w:rsid w:val="48534FA8"/>
    <w:rsid w:val="492E7EB7"/>
    <w:rsid w:val="49667651"/>
    <w:rsid w:val="496D426B"/>
    <w:rsid w:val="49F44C5D"/>
    <w:rsid w:val="4B0217F4"/>
    <w:rsid w:val="4BA83F51"/>
    <w:rsid w:val="4C0A6EB7"/>
    <w:rsid w:val="4C896065"/>
    <w:rsid w:val="4CEC3688"/>
    <w:rsid w:val="4D001B6A"/>
    <w:rsid w:val="4D113D78"/>
    <w:rsid w:val="4DC853F0"/>
    <w:rsid w:val="4ED17C62"/>
    <w:rsid w:val="4F9D7B44"/>
    <w:rsid w:val="50CE127F"/>
    <w:rsid w:val="51C44151"/>
    <w:rsid w:val="52EF1454"/>
    <w:rsid w:val="53034162"/>
    <w:rsid w:val="535449BE"/>
    <w:rsid w:val="546240D5"/>
    <w:rsid w:val="548C6722"/>
    <w:rsid w:val="55EA2948"/>
    <w:rsid w:val="59611843"/>
    <w:rsid w:val="5996188C"/>
    <w:rsid w:val="59BA0B75"/>
    <w:rsid w:val="5A1924BD"/>
    <w:rsid w:val="5A276988"/>
    <w:rsid w:val="5A6715FE"/>
    <w:rsid w:val="5AA63D51"/>
    <w:rsid w:val="5AEF5DC2"/>
    <w:rsid w:val="5BFD2B73"/>
    <w:rsid w:val="5DA13381"/>
    <w:rsid w:val="5DF9093A"/>
    <w:rsid w:val="5E4009E5"/>
    <w:rsid w:val="5F677827"/>
    <w:rsid w:val="5FDA37AA"/>
    <w:rsid w:val="60AB6843"/>
    <w:rsid w:val="61D17D64"/>
    <w:rsid w:val="61FE4473"/>
    <w:rsid w:val="63AD1167"/>
    <w:rsid w:val="63D74F7B"/>
    <w:rsid w:val="643423CE"/>
    <w:rsid w:val="66C37A39"/>
    <w:rsid w:val="6828049B"/>
    <w:rsid w:val="683A1419"/>
    <w:rsid w:val="697C4273"/>
    <w:rsid w:val="69B33D95"/>
    <w:rsid w:val="6A4E492F"/>
    <w:rsid w:val="6A5F216E"/>
    <w:rsid w:val="6AD17A9C"/>
    <w:rsid w:val="6B772250"/>
    <w:rsid w:val="6C292A34"/>
    <w:rsid w:val="6C394CEB"/>
    <w:rsid w:val="6CFC5A53"/>
    <w:rsid w:val="6D8F68C7"/>
    <w:rsid w:val="6DF94043"/>
    <w:rsid w:val="6F347726"/>
    <w:rsid w:val="6FE729EA"/>
    <w:rsid w:val="73EA2AA9"/>
    <w:rsid w:val="75B3511C"/>
    <w:rsid w:val="769A0612"/>
    <w:rsid w:val="780103C1"/>
    <w:rsid w:val="79517126"/>
    <w:rsid w:val="79B17BC5"/>
    <w:rsid w:val="79BA2F1D"/>
    <w:rsid w:val="7A4F18B8"/>
    <w:rsid w:val="7B037EC8"/>
    <w:rsid w:val="7B7417F9"/>
    <w:rsid w:val="7C1C2081"/>
    <w:rsid w:val="7C376AA7"/>
    <w:rsid w:val="7C62476A"/>
    <w:rsid w:val="7CF95B0B"/>
    <w:rsid w:val="7D32101D"/>
    <w:rsid w:val="7DA74756"/>
    <w:rsid w:val="7E1E5808"/>
    <w:rsid w:val="7E265025"/>
    <w:rsid w:val="7E4408C3"/>
    <w:rsid w:val="7EB51F05"/>
    <w:rsid w:val="7F4F28D1"/>
    <w:rsid w:val="7F534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7">
    <w:name w:val="List Paragraph"/>
    <w:basedOn w:val="1"/>
    <w:autoRedefine/>
    <w:qFormat/>
    <w:uiPriority w:val="34"/>
    <w:pPr>
      <w:ind w:firstLine="420" w:firstLineChars="200"/>
    </w:pPr>
  </w:style>
  <w:style w:type="character" w:customStyle="1" w:styleId="8">
    <w:name w:val="页眉 字符"/>
    <w:basedOn w:val="6"/>
    <w:link w:val="3"/>
    <w:autoRedefine/>
    <w:qFormat/>
    <w:uiPriority w:val="99"/>
    <w:rPr>
      <w:rFonts w:ascii="Times New Roman" w:hAnsi="Times New Roman" w:eastAsia="宋体" w:cs="Times New Roman"/>
      <w:sz w:val="18"/>
      <w:szCs w:val="18"/>
    </w:rPr>
  </w:style>
  <w:style w:type="character" w:customStyle="1" w:styleId="9">
    <w:name w:val="页脚 字符"/>
    <w:basedOn w:val="6"/>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1253</Words>
  <Characters>1468</Characters>
  <Lines>11</Lines>
  <Paragraphs>3</Paragraphs>
  <TotalTime>1168</TotalTime>
  <ScaleCrop>false</ScaleCrop>
  <LinksUpToDate>false</LinksUpToDate>
  <CharactersWithSpaces>1488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2019-11-29T01:28:00Z</dcterms:created>
  <dc:creator>李锐</dc:creator>
  <cp:lastModifiedBy>王雅杰</cp:lastModifiedBy>
  <cp:lastPrinted>2024-10-25T03:11:14Z</cp:lastPrinted>
  <dcterms:modified xsi:type="dcterms:W3CDTF">2024-10-25T03:11:30Z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566372C9E47A49EDBA95543962F0A8EF</vt:lpwstr>
  </property>
</Properties>
</file>