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39DBD6">
      <w:pPr>
        <w:spacing w:line="360" w:lineRule="auto"/>
        <w:ind w:right="-153" w:rightChars="-73"/>
        <w:jc w:val="center"/>
        <w:rPr>
          <w:rFonts w:hint="default" w:ascii="黑体" w:hAnsi="宋体" w:eastAsia="宋体"/>
          <w:b/>
          <w:bCs/>
          <w:color w:val="FF0000"/>
          <w:sz w:val="32"/>
          <w:lang w:val="en-US" w:eastAsia="zh-CN"/>
        </w:rPr>
      </w:pPr>
      <w:bookmarkStart w:id="0" w:name="_GoBack"/>
      <w:bookmarkEnd w:id="0"/>
      <w:r>
        <w:rPr>
          <w:rFonts w:hint="eastAsia" w:ascii="宋体" w:hAnsi="宋体" w:cs="宋体"/>
          <w:color w:val="000000"/>
          <w:kern w:val="0"/>
          <w:sz w:val="24"/>
        </w:rPr>
        <w:t>证券代码：600200        证券简称：江苏吴中       公告编号：临2024-</w:t>
      </w:r>
      <w:r>
        <w:rPr>
          <w:rFonts w:hint="eastAsia" w:ascii="宋体" w:hAnsi="宋体" w:cs="宋体"/>
          <w:color w:val="000000"/>
          <w:kern w:val="0"/>
          <w:sz w:val="24"/>
          <w:highlight w:val="none"/>
          <w:lang w:val="en-US" w:eastAsia="zh-CN"/>
        </w:rPr>
        <w:t>073</w:t>
      </w:r>
    </w:p>
    <w:p w14:paraId="570CC882">
      <w:pPr>
        <w:spacing w:line="360" w:lineRule="auto"/>
        <w:ind w:right="-153" w:rightChars="-73"/>
        <w:jc w:val="center"/>
        <w:rPr>
          <w:rFonts w:hint="eastAsia" w:ascii="黑体" w:hAnsi="宋体" w:eastAsia="黑体"/>
          <w:b/>
          <w:bCs/>
          <w:color w:val="FF0000"/>
          <w:sz w:val="32"/>
        </w:rPr>
      </w:pPr>
    </w:p>
    <w:p w14:paraId="77569AC7">
      <w:pPr>
        <w:spacing w:line="360" w:lineRule="auto"/>
        <w:ind w:right="-153" w:rightChars="-73"/>
        <w:jc w:val="center"/>
        <w:rPr>
          <w:rFonts w:hint="eastAsia" w:ascii="黑体" w:hAnsi="宋体" w:eastAsia="黑体"/>
          <w:b/>
          <w:bCs/>
          <w:color w:val="FF0000"/>
          <w:sz w:val="32"/>
        </w:rPr>
      </w:pPr>
      <w:r>
        <w:rPr>
          <w:rFonts w:hint="eastAsia" w:ascii="黑体" w:hAnsi="宋体" w:eastAsia="黑体"/>
          <w:b/>
          <w:bCs/>
          <w:color w:val="FF0000"/>
          <w:sz w:val="32"/>
        </w:rPr>
        <w:t>江苏吴中医药发展股份有限公司</w:t>
      </w:r>
    </w:p>
    <w:p w14:paraId="4C410470">
      <w:pPr>
        <w:spacing w:line="360" w:lineRule="auto"/>
        <w:ind w:right="-153" w:rightChars="-73"/>
        <w:jc w:val="center"/>
        <w:rPr>
          <w:rFonts w:hint="eastAsia" w:ascii="黑体" w:hAnsi="宋体" w:eastAsia="黑体"/>
          <w:b/>
          <w:bCs/>
          <w:color w:val="FF0000"/>
          <w:sz w:val="32"/>
        </w:rPr>
      </w:pPr>
      <w:r>
        <w:rPr>
          <w:rFonts w:hint="eastAsia" w:ascii="黑体" w:hAnsi="宋体" w:eastAsia="黑体"/>
          <w:b/>
          <w:bCs/>
          <w:color w:val="FF0000"/>
          <w:sz w:val="32"/>
        </w:rPr>
        <w:t>关于控股股东部分股份质押的公告</w:t>
      </w:r>
    </w:p>
    <w:p w14:paraId="627B4463">
      <w:pPr>
        <w:autoSpaceDE w:val="0"/>
        <w:autoSpaceDN w:val="0"/>
        <w:adjustRightInd w:val="0"/>
        <w:spacing w:line="360" w:lineRule="auto"/>
        <w:ind w:firstLine="482" w:firstLineChars="200"/>
        <w:rPr>
          <w:rFonts w:hint="eastAsia" w:ascii="ˎ̥" w:hAnsi="ˎ̥"/>
          <w:b/>
          <w:sz w:val="24"/>
        </w:rPr>
      </w:pPr>
    </w:p>
    <w:p w14:paraId="6FF06597">
      <w:pPr>
        <w:autoSpaceDE w:val="0"/>
        <w:autoSpaceDN w:val="0"/>
        <w:adjustRightInd w:val="0"/>
        <w:spacing w:line="360" w:lineRule="auto"/>
        <w:ind w:firstLine="482" w:firstLineChars="200"/>
        <w:rPr>
          <w:rFonts w:hint="eastAsia" w:ascii="ˎ̥" w:hAnsi="ˎ̥"/>
          <w:b/>
          <w:sz w:val="24"/>
        </w:rPr>
      </w:pPr>
      <w:r>
        <w:rPr>
          <w:rFonts w:hint="eastAsia" w:ascii="ˎ̥" w:hAnsi="ˎ̥"/>
          <w:b/>
          <w:sz w:val="24"/>
        </w:rPr>
        <w:t>本公司董事会及董事会全体成员保证公告内容不存在虚假记载、误导性陈述或者重大遗漏，并对其内容的真实、准确和完整承担法律责任。</w:t>
      </w:r>
    </w:p>
    <w:p w14:paraId="686DAD60">
      <w:pPr>
        <w:spacing w:line="420" w:lineRule="exact"/>
        <w:rPr>
          <w:rFonts w:ascii="宋体" w:cs="宋体"/>
          <w:color w:val="000000"/>
          <w:kern w:val="0"/>
          <w:sz w:val="24"/>
        </w:rPr>
      </w:pPr>
    </w:p>
    <w:p w14:paraId="715145E2">
      <w:pPr>
        <w:autoSpaceDE w:val="0"/>
        <w:autoSpaceDN w:val="0"/>
        <w:adjustRightInd w:val="0"/>
        <w:spacing w:line="360" w:lineRule="auto"/>
        <w:ind w:firstLine="482" w:firstLineChars="200"/>
        <w:rPr>
          <w:rFonts w:hint="eastAsia" w:ascii="宋体" w:hAnsi="宋体"/>
          <w:b/>
          <w:sz w:val="24"/>
        </w:rPr>
      </w:pPr>
      <w:r>
        <w:rPr>
          <w:rFonts w:hint="eastAsia" w:ascii="宋体" w:hAnsi="宋体"/>
          <w:b/>
          <w:sz w:val="24"/>
        </w:rPr>
        <w:t>重要内容提示：</w:t>
      </w:r>
    </w:p>
    <w:p w14:paraId="468D115C">
      <w:pPr>
        <w:numPr>
          <w:ilvl w:val="0"/>
          <w:numId w:val="1"/>
        </w:numPr>
        <w:adjustRightInd w:val="0"/>
        <w:snapToGrid w:val="0"/>
        <w:spacing w:line="360" w:lineRule="auto"/>
        <w:rPr>
          <w:rFonts w:hint="eastAsia" w:ascii="宋体" w:hAnsi="宋体"/>
          <w:sz w:val="24"/>
        </w:rPr>
      </w:pPr>
      <w:r>
        <w:rPr>
          <w:rFonts w:hint="eastAsia" w:ascii="宋体" w:hAnsi="宋体"/>
          <w:sz w:val="24"/>
        </w:rPr>
        <w:t>截至本公告披露日，江苏吴中医药发展股份有限公司（以下简称“公司”）控股股东苏州吴中投资控股有限公司（以下简称“控股股东”）持有公司122,795,762股股份（均为无限售流通股），占公司总股本的17.24%。</w:t>
      </w:r>
    </w:p>
    <w:p w14:paraId="3121DAF7">
      <w:pPr>
        <w:numPr>
          <w:ilvl w:val="0"/>
          <w:numId w:val="1"/>
        </w:numPr>
        <w:adjustRightInd w:val="0"/>
        <w:snapToGrid w:val="0"/>
        <w:spacing w:line="360" w:lineRule="auto"/>
        <w:rPr>
          <w:rFonts w:hint="eastAsia" w:ascii="宋体" w:hAnsi="宋体"/>
          <w:sz w:val="24"/>
        </w:rPr>
      </w:pPr>
      <w:r>
        <w:rPr>
          <w:rFonts w:hint="eastAsia" w:ascii="宋体" w:hAnsi="宋体"/>
          <w:sz w:val="24"/>
        </w:rPr>
        <w:t>本次部分股份质押后，控股股东累计质押股份数</w:t>
      </w:r>
      <w:r>
        <w:rPr>
          <w:rFonts w:hint="eastAsia" w:ascii="宋体" w:hAnsi="宋体"/>
          <w:sz w:val="24"/>
          <w:highlight w:val="none"/>
        </w:rPr>
        <w:t>量105</w:t>
      </w:r>
      <w:r>
        <w:rPr>
          <w:rFonts w:hint="eastAsia" w:ascii="宋体" w:hAnsi="宋体"/>
          <w:sz w:val="24"/>
          <w:highlight w:val="none"/>
          <w:lang w:val="en-US" w:eastAsia="zh-CN"/>
        </w:rPr>
        <w:t>,</w:t>
      </w:r>
      <w:r>
        <w:rPr>
          <w:rFonts w:hint="eastAsia" w:ascii="宋体" w:hAnsi="宋体"/>
          <w:sz w:val="24"/>
          <w:highlight w:val="none"/>
        </w:rPr>
        <w:t>250</w:t>
      </w:r>
      <w:r>
        <w:rPr>
          <w:rFonts w:hint="eastAsia" w:ascii="宋体" w:hAnsi="宋体"/>
          <w:sz w:val="24"/>
          <w:highlight w:val="none"/>
          <w:lang w:val="en-US" w:eastAsia="zh-CN"/>
        </w:rPr>
        <w:t>,</w:t>
      </w:r>
      <w:r>
        <w:rPr>
          <w:rFonts w:hint="eastAsia" w:ascii="宋体" w:hAnsi="宋体"/>
          <w:sz w:val="24"/>
          <w:highlight w:val="none"/>
        </w:rPr>
        <w:t>000股</w:t>
      </w:r>
      <w:r>
        <w:rPr>
          <w:rFonts w:hint="eastAsia" w:ascii="宋体" w:hAnsi="宋体"/>
          <w:sz w:val="24"/>
        </w:rPr>
        <w:t>，占其持有公司股份总</w:t>
      </w:r>
      <w:r>
        <w:rPr>
          <w:rFonts w:hint="eastAsia" w:ascii="宋体" w:hAnsi="宋体"/>
          <w:sz w:val="24"/>
          <w:highlight w:val="none"/>
        </w:rPr>
        <w:t>数的85.71%，占公司总股本的14.78%。</w:t>
      </w:r>
    </w:p>
    <w:p w14:paraId="0B02EAF2">
      <w:pPr>
        <w:spacing w:line="420" w:lineRule="exact"/>
        <w:rPr>
          <w:rFonts w:ascii="宋体" w:cs="宋体"/>
          <w:kern w:val="0"/>
          <w:sz w:val="24"/>
        </w:rPr>
      </w:pPr>
    </w:p>
    <w:p w14:paraId="11951CED">
      <w:pPr>
        <w:spacing w:line="360" w:lineRule="auto"/>
        <w:ind w:firstLine="480"/>
        <w:rPr>
          <w:rFonts w:hint="eastAsia" w:asciiTheme="minorEastAsia" w:hAnsiTheme="minorEastAsia" w:eastAsiaTheme="minorEastAsia"/>
          <w:sz w:val="24"/>
        </w:rPr>
      </w:pPr>
      <w:r>
        <w:rPr>
          <w:rFonts w:hint="eastAsia" w:asciiTheme="minorEastAsia" w:hAnsiTheme="minorEastAsia" w:eastAsiaTheme="minorEastAsia"/>
          <w:sz w:val="24"/>
        </w:rPr>
        <w:t>公司于2024年</w:t>
      </w:r>
      <w:r>
        <w:rPr>
          <w:rFonts w:hint="eastAsia" w:asciiTheme="minorEastAsia" w:hAnsiTheme="minorEastAsia" w:eastAsiaTheme="minorEastAsia"/>
          <w:sz w:val="24"/>
          <w:highlight w:val="none"/>
        </w:rPr>
        <w:t>10月3</w:t>
      </w:r>
      <w:r>
        <w:rPr>
          <w:rFonts w:hint="eastAsia" w:asciiTheme="minorEastAsia" w:hAnsiTheme="minorEastAsia" w:eastAsiaTheme="minorEastAsia"/>
          <w:sz w:val="24"/>
          <w:highlight w:val="none"/>
          <w:lang w:val="en-US" w:eastAsia="zh-CN"/>
        </w:rPr>
        <w:t>1</w:t>
      </w:r>
      <w:r>
        <w:rPr>
          <w:rFonts w:hint="eastAsia" w:asciiTheme="minorEastAsia" w:hAnsiTheme="minorEastAsia" w:eastAsiaTheme="minorEastAsia"/>
          <w:sz w:val="24"/>
          <w:highlight w:val="none"/>
        </w:rPr>
        <w:t>日</w:t>
      </w:r>
      <w:r>
        <w:rPr>
          <w:rFonts w:hint="eastAsia" w:asciiTheme="minorEastAsia" w:hAnsiTheme="minorEastAsia" w:eastAsiaTheme="minorEastAsia"/>
          <w:sz w:val="24"/>
        </w:rPr>
        <w:t>收到控股股东苏州吴中投资控股有限公司关于部分股份质押的通知，具体情况如下：</w:t>
      </w:r>
    </w:p>
    <w:p w14:paraId="3B7100D0">
      <w:pPr>
        <w:spacing w:after="240" w:line="420" w:lineRule="exact"/>
        <w:ind w:firstLine="482" w:firstLineChars="200"/>
        <w:rPr>
          <w:rFonts w:hint="eastAsia" w:asciiTheme="minorEastAsia" w:hAnsiTheme="minorEastAsia" w:eastAsiaTheme="minorEastAsia"/>
          <w:b/>
          <w:sz w:val="24"/>
        </w:rPr>
      </w:pPr>
      <w:r>
        <w:rPr>
          <w:rFonts w:hint="eastAsia" w:asciiTheme="minorEastAsia" w:hAnsiTheme="minorEastAsia" w:eastAsiaTheme="minorEastAsia"/>
          <w:b/>
          <w:sz w:val="24"/>
        </w:rPr>
        <w:t>一、股份质押基本情况</w:t>
      </w:r>
    </w:p>
    <w:p w14:paraId="59D8D4CB">
      <w:pPr>
        <w:spacing w:after="240" w:line="420" w:lineRule="exact"/>
        <w:ind w:firstLine="480" w:firstLineChars="200"/>
        <w:rPr>
          <w:rFonts w:hint="eastAsia" w:asciiTheme="minorEastAsia" w:hAnsiTheme="minorEastAsia" w:eastAsiaTheme="minorEastAsia"/>
          <w:sz w:val="24"/>
        </w:rPr>
      </w:pPr>
      <w:r>
        <w:rPr>
          <w:rFonts w:hint="eastAsia" w:asciiTheme="minorEastAsia" w:hAnsiTheme="minorEastAsia" w:eastAsiaTheme="minorEastAsia"/>
          <w:sz w:val="24"/>
        </w:rPr>
        <w:t>1、本次股份质押基本情况</w:t>
      </w:r>
    </w:p>
    <w:tbl>
      <w:tblPr>
        <w:tblStyle w:val="6"/>
        <w:tblW w:w="106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1"/>
        <w:gridCol w:w="929"/>
        <w:gridCol w:w="1290"/>
        <w:gridCol w:w="675"/>
        <w:gridCol w:w="675"/>
        <w:gridCol w:w="1035"/>
        <w:gridCol w:w="1155"/>
        <w:gridCol w:w="1320"/>
        <w:gridCol w:w="885"/>
        <w:gridCol w:w="870"/>
        <w:gridCol w:w="909"/>
      </w:tblGrid>
      <w:tr w14:paraId="34A7A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1" w:hRule="atLeast"/>
          <w:jc w:val="center"/>
        </w:trPr>
        <w:tc>
          <w:tcPr>
            <w:tcW w:w="911" w:type="dxa"/>
            <w:tcBorders>
              <w:top w:val="single" w:color="auto" w:sz="4" w:space="0"/>
              <w:left w:val="single" w:color="auto" w:sz="4" w:space="0"/>
              <w:bottom w:val="single" w:color="auto" w:sz="4" w:space="0"/>
              <w:right w:val="single" w:color="auto" w:sz="4" w:space="0"/>
            </w:tcBorders>
            <w:vAlign w:val="center"/>
          </w:tcPr>
          <w:p w14:paraId="7CC8C0EE">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股东</w:t>
            </w:r>
          </w:p>
          <w:p w14:paraId="0AE98239">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名称</w:t>
            </w:r>
          </w:p>
        </w:tc>
        <w:tc>
          <w:tcPr>
            <w:tcW w:w="929" w:type="dxa"/>
            <w:tcBorders>
              <w:top w:val="single" w:color="auto" w:sz="4" w:space="0"/>
              <w:left w:val="single" w:color="auto" w:sz="4" w:space="0"/>
              <w:bottom w:val="single" w:color="auto" w:sz="4" w:space="0"/>
              <w:right w:val="single" w:color="auto" w:sz="4" w:space="0"/>
            </w:tcBorders>
            <w:vAlign w:val="center"/>
          </w:tcPr>
          <w:p w14:paraId="233834EF">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是否为</w:t>
            </w:r>
          </w:p>
          <w:p w14:paraId="3546F2C9">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控股股东</w:t>
            </w:r>
          </w:p>
        </w:tc>
        <w:tc>
          <w:tcPr>
            <w:tcW w:w="1290" w:type="dxa"/>
            <w:tcBorders>
              <w:top w:val="single" w:color="auto" w:sz="4" w:space="0"/>
              <w:left w:val="single" w:color="auto" w:sz="4" w:space="0"/>
              <w:bottom w:val="single" w:color="auto" w:sz="4" w:space="0"/>
              <w:right w:val="single" w:color="auto" w:sz="4" w:space="0"/>
            </w:tcBorders>
            <w:vAlign w:val="center"/>
          </w:tcPr>
          <w:p w14:paraId="24C1F1D4">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本次质押股数(股)</w:t>
            </w:r>
          </w:p>
        </w:tc>
        <w:tc>
          <w:tcPr>
            <w:tcW w:w="675" w:type="dxa"/>
            <w:tcBorders>
              <w:top w:val="single" w:color="auto" w:sz="4" w:space="0"/>
              <w:left w:val="single" w:color="auto" w:sz="4" w:space="0"/>
              <w:bottom w:val="single" w:color="auto" w:sz="4" w:space="0"/>
              <w:right w:val="single" w:color="auto" w:sz="4" w:space="0"/>
            </w:tcBorders>
            <w:vAlign w:val="center"/>
          </w:tcPr>
          <w:p w14:paraId="79590F59">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是否为限售股</w:t>
            </w:r>
          </w:p>
        </w:tc>
        <w:tc>
          <w:tcPr>
            <w:tcW w:w="675" w:type="dxa"/>
            <w:tcBorders>
              <w:top w:val="single" w:color="auto" w:sz="4" w:space="0"/>
              <w:left w:val="single" w:color="auto" w:sz="4" w:space="0"/>
              <w:bottom w:val="single" w:color="auto" w:sz="4" w:space="0"/>
              <w:right w:val="single" w:color="auto" w:sz="4" w:space="0"/>
            </w:tcBorders>
            <w:vAlign w:val="center"/>
          </w:tcPr>
          <w:p w14:paraId="0BF38626">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是否补充质押</w:t>
            </w:r>
          </w:p>
        </w:tc>
        <w:tc>
          <w:tcPr>
            <w:tcW w:w="1035" w:type="dxa"/>
            <w:tcBorders>
              <w:top w:val="single" w:color="auto" w:sz="4" w:space="0"/>
              <w:left w:val="single" w:color="auto" w:sz="4" w:space="0"/>
              <w:bottom w:val="single" w:color="auto" w:sz="4" w:space="0"/>
              <w:right w:val="single" w:color="auto" w:sz="4" w:space="0"/>
            </w:tcBorders>
            <w:vAlign w:val="center"/>
          </w:tcPr>
          <w:p w14:paraId="1EC26E85">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质押</w:t>
            </w:r>
          </w:p>
          <w:p w14:paraId="71D9FD16">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起始日</w:t>
            </w:r>
          </w:p>
        </w:tc>
        <w:tc>
          <w:tcPr>
            <w:tcW w:w="1155" w:type="dxa"/>
            <w:tcBorders>
              <w:top w:val="single" w:color="auto" w:sz="4" w:space="0"/>
              <w:left w:val="single" w:color="auto" w:sz="4" w:space="0"/>
              <w:bottom w:val="single" w:color="auto" w:sz="4" w:space="0"/>
              <w:right w:val="single" w:color="auto" w:sz="4" w:space="0"/>
            </w:tcBorders>
            <w:vAlign w:val="center"/>
          </w:tcPr>
          <w:p w14:paraId="3F6371E1">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质押</w:t>
            </w:r>
          </w:p>
          <w:p w14:paraId="39909F71">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到期日</w:t>
            </w:r>
          </w:p>
        </w:tc>
        <w:tc>
          <w:tcPr>
            <w:tcW w:w="1320" w:type="dxa"/>
            <w:tcBorders>
              <w:top w:val="single" w:color="auto" w:sz="4" w:space="0"/>
              <w:left w:val="single" w:color="auto" w:sz="4" w:space="0"/>
              <w:bottom w:val="single" w:color="auto" w:sz="4" w:space="0"/>
              <w:right w:val="single" w:color="auto" w:sz="4" w:space="0"/>
            </w:tcBorders>
            <w:vAlign w:val="center"/>
          </w:tcPr>
          <w:p w14:paraId="43FD19ED">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质权人</w:t>
            </w:r>
          </w:p>
        </w:tc>
        <w:tc>
          <w:tcPr>
            <w:tcW w:w="885" w:type="dxa"/>
            <w:tcBorders>
              <w:top w:val="single" w:color="auto" w:sz="4" w:space="0"/>
              <w:left w:val="single" w:color="auto" w:sz="4" w:space="0"/>
              <w:bottom w:val="single" w:color="auto" w:sz="4" w:space="0"/>
              <w:right w:val="single" w:color="auto" w:sz="4" w:space="0"/>
            </w:tcBorders>
            <w:vAlign w:val="center"/>
          </w:tcPr>
          <w:p w14:paraId="099B3DA9">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占其所持股份比例</w:t>
            </w:r>
          </w:p>
        </w:tc>
        <w:tc>
          <w:tcPr>
            <w:tcW w:w="870" w:type="dxa"/>
            <w:tcBorders>
              <w:top w:val="single" w:color="auto" w:sz="4" w:space="0"/>
              <w:left w:val="single" w:color="auto" w:sz="4" w:space="0"/>
              <w:bottom w:val="single" w:color="auto" w:sz="4" w:space="0"/>
              <w:right w:val="single" w:color="auto" w:sz="4" w:space="0"/>
            </w:tcBorders>
            <w:vAlign w:val="center"/>
          </w:tcPr>
          <w:p w14:paraId="31877B4F">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占公司总股本比例</w:t>
            </w:r>
          </w:p>
        </w:tc>
        <w:tc>
          <w:tcPr>
            <w:tcW w:w="909" w:type="dxa"/>
            <w:tcBorders>
              <w:top w:val="single" w:color="auto" w:sz="4" w:space="0"/>
              <w:left w:val="single" w:color="auto" w:sz="4" w:space="0"/>
              <w:bottom w:val="single" w:color="auto" w:sz="4" w:space="0"/>
              <w:right w:val="single" w:color="auto" w:sz="4" w:space="0"/>
            </w:tcBorders>
            <w:vAlign w:val="center"/>
          </w:tcPr>
          <w:p w14:paraId="78425011">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质押融资资金用途</w:t>
            </w:r>
          </w:p>
        </w:tc>
      </w:tr>
      <w:tr w14:paraId="73A09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1" w:hRule="atLeast"/>
          <w:jc w:val="center"/>
        </w:trPr>
        <w:tc>
          <w:tcPr>
            <w:tcW w:w="911" w:type="dxa"/>
            <w:tcBorders>
              <w:top w:val="single" w:color="auto" w:sz="4" w:space="0"/>
              <w:left w:val="single" w:color="auto" w:sz="4" w:space="0"/>
              <w:bottom w:val="single" w:color="auto" w:sz="4" w:space="0"/>
              <w:right w:val="single" w:color="auto" w:sz="4" w:space="0"/>
            </w:tcBorders>
            <w:vAlign w:val="center"/>
          </w:tcPr>
          <w:p w14:paraId="5DE2D9E5">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苏州吴中投资控股有限公司</w:t>
            </w:r>
          </w:p>
        </w:tc>
        <w:tc>
          <w:tcPr>
            <w:tcW w:w="929" w:type="dxa"/>
            <w:tcBorders>
              <w:top w:val="single" w:color="auto" w:sz="4" w:space="0"/>
              <w:left w:val="single" w:color="auto" w:sz="4" w:space="0"/>
              <w:bottom w:val="single" w:color="auto" w:sz="4" w:space="0"/>
              <w:right w:val="single" w:color="auto" w:sz="4" w:space="0"/>
            </w:tcBorders>
            <w:vAlign w:val="center"/>
          </w:tcPr>
          <w:p w14:paraId="26CD5453">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是</w:t>
            </w:r>
          </w:p>
        </w:tc>
        <w:tc>
          <w:tcPr>
            <w:tcW w:w="1290" w:type="dxa"/>
            <w:tcBorders>
              <w:top w:val="single" w:color="auto" w:sz="4" w:space="0"/>
              <w:left w:val="single" w:color="auto" w:sz="4" w:space="0"/>
              <w:bottom w:val="single" w:color="auto" w:sz="4" w:space="0"/>
              <w:right w:val="single" w:color="auto" w:sz="4" w:space="0"/>
            </w:tcBorders>
            <w:vAlign w:val="center"/>
          </w:tcPr>
          <w:p w14:paraId="517C3F37">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13,500,000</w:t>
            </w:r>
          </w:p>
        </w:tc>
        <w:tc>
          <w:tcPr>
            <w:tcW w:w="675" w:type="dxa"/>
            <w:tcBorders>
              <w:top w:val="single" w:color="auto" w:sz="4" w:space="0"/>
              <w:left w:val="single" w:color="auto" w:sz="4" w:space="0"/>
              <w:bottom w:val="single" w:color="auto" w:sz="4" w:space="0"/>
              <w:right w:val="single" w:color="auto" w:sz="4" w:space="0"/>
            </w:tcBorders>
            <w:vAlign w:val="center"/>
          </w:tcPr>
          <w:p w14:paraId="16851F19">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否</w:t>
            </w:r>
          </w:p>
        </w:tc>
        <w:tc>
          <w:tcPr>
            <w:tcW w:w="675" w:type="dxa"/>
            <w:tcBorders>
              <w:top w:val="single" w:color="auto" w:sz="4" w:space="0"/>
              <w:left w:val="single" w:color="auto" w:sz="4" w:space="0"/>
              <w:bottom w:val="single" w:color="auto" w:sz="4" w:space="0"/>
              <w:right w:val="single" w:color="auto" w:sz="4" w:space="0"/>
            </w:tcBorders>
            <w:vAlign w:val="center"/>
          </w:tcPr>
          <w:p w14:paraId="1FFCE06C">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否</w:t>
            </w:r>
          </w:p>
        </w:tc>
        <w:tc>
          <w:tcPr>
            <w:tcW w:w="1035" w:type="dxa"/>
            <w:tcBorders>
              <w:top w:val="single" w:color="auto" w:sz="4" w:space="0"/>
              <w:left w:val="single" w:color="auto" w:sz="4" w:space="0"/>
              <w:bottom w:val="single" w:color="auto" w:sz="4" w:space="0"/>
              <w:right w:val="single" w:color="auto" w:sz="4" w:space="0"/>
            </w:tcBorders>
            <w:vAlign w:val="center"/>
          </w:tcPr>
          <w:p w14:paraId="3C8E227E">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2024年10月30日</w:t>
            </w:r>
          </w:p>
        </w:tc>
        <w:tc>
          <w:tcPr>
            <w:tcW w:w="1155" w:type="dxa"/>
            <w:tcBorders>
              <w:top w:val="single" w:color="auto" w:sz="4" w:space="0"/>
              <w:left w:val="single" w:color="auto" w:sz="4" w:space="0"/>
              <w:bottom w:val="single" w:color="auto" w:sz="4" w:space="0"/>
              <w:right w:val="single" w:color="auto" w:sz="4" w:space="0"/>
            </w:tcBorders>
            <w:vAlign w:val="center"/>
          </w:tcPr>
          <w:p w14:paraId="5263AF5F">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2025年1月26日</w:t>
            </w:r>
          </w:p>
        </w:tc>
        <w:tc>
          <w:tcPr>
            <w:tcW w:w="1320" w:type="dxa"/>
            <w:tcBorders>
              <w:top w:val="single" w:color="auto" w:sz="4" w:space="0"/>
              <w:left w:val="single" w:color="auto" w:sz="4" w:space="0"/>
              <w:right w:val="single" w:color="auto" w:sz="4" w:space="0"/>
            </w:tcBorders>
            <w:vAlign w:val="center"/>
          </w:tcPr>
          <w:p w14:paraId="72A57288">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浙江炳炳典当有限公司</w:t>
            </w:r>
          </w:p>
        </w:tc>
        <w:tc>
          <w:tcPr>
            <w:tcW w:w="885" w:type="dxa"/>
            <w:tcBorders>
              <w:top w:val="single" w:color="auto" w:sz="4" w:space="0"/>
              <w:left w:val="single" w:color="auto" w:sz="4" w:space="0"/>
              <w:bottom w:val="single" w:color="auto" w:sz="4" w:space="0"/>
              <w:right w:val="single" w:color="auto" w:sz="4" w:space="0"/>
            </w:tcBorders>
            <w:vAlign w:val="center"/>
          </w:tcPr>
          <w:p w14:paraId="2D14ACA1">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10.99%</w:t>
            </w:r>
          </w:p>
        </w:tc>
        <w:tc>
          <w:tcPr>
            <w:tcW w:w="870" w:type="dxa"/>
            <w:tcBorders>
              <w:top w:val="single" w:color="auto" w:sz="4" w:space="0"/>
              <w:left w:val="single" w:color="auto" w:sz="4" w:space="0"/>
              <w:bottom w:val="single" w:color="auto" w:sz="4" w:space="0"/>
              <w:right w:val="single" w:color="auto" w:sz="4" w:space="0"/>
            </w:tcBorders>
            <w:vAlign w:val="center"/>
          </w:tcPr>
          <w:p w14:paraId="21270075">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1.9</w:t>
            </w:r>
            <w:r>
              <w:rPr>
                <w:rFonts w:hint="eastAsia" w:asciiTheme="minorEastAsia" w:hAnsiTheme="minorEastAsia" w:eastAsiaTheme="minorEastAsia" w:cstheme="minorEastAsia"/>
                <w:szCs w:val="21"/>
                <w:highlight w:val="none"/>
                <w:lang w:val="en-US" w:eastAsia="zh-CN"/>
              </w:rPr>
              <w:t>0</w:t>
            </w:r>
            <w:r>
              <w:rPr>
                <w:rFonts w:hint="eastAsia" w:asciiTheme="minorEastAsia" w:hAnsiTheme="minorEastAsia" w:eastAsiaTheme="minorEastAsia" w:cstheme="minorEastAsia"/>
                <w:szCs w:val="21"/>
                <w:highlight w:val="none"/>
              </w:rPr>
              <w:t>%</w:t>
            </w:r>
          </w:p>
        </w:tc>
        <w:tc>
          <w:tcPr>
            <w:tcW w:w="909" w:type="dxa"/>
            <w:tcBorders>
              <w:top w:val="single" w:color="auto" w:sz="4" w:space="0"/>
              <w:left w:val="single" w:color="auto" w:sz="4" w:space="0"/>
              <w:bottom w:val="single" w:color="auto" w:sz="4" w:space="0"/>
              <w:right w:val="single" w:color="auto" w:sz="4" w:space="0"/>
            </w:tcBorders>
            <w:vAlign w:val="center"/>
          </w:tcPr>
          <w:p w14:paraId="76545921">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自身生产经营</w:t>
            </w:r>
          </w:p>
        </w:tc>
      </w:tr>
      <w:tr w14:paraId="0383B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1" w:hRule="atLeast"/>
          <w:jc w:val="center"/>
        </w:trPr>
        <w:tc>
          <w:tcPr>
            <w:tcW w:w="911" w:type="dxa"/>
            <w:tcBorders>
              <w:top w:val="single" w:color="auto" w:sz="4" w:space="0"/>
              <w:left w:val="single" w:color="auto" w:sz="4" w:space="0"/>
              <w:bottom w:val="single" w:color="auto" w:sz="4" w:space="0"/>
              <w:right w:val="single" w:color="auto" w:sz="4" w:space="0"/>
            </w:tcBorders>
            <w:vAlign w:val="center"/>
          </w:tcPr>
          <w:p w14:paraId="3443D8CE">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合计</w:t>
            </w:r>
          </w:p>
        </w:tc>
        <w:tc>
          <w:tcPr>
            <w:tcW w:w="929" w:type="dxa"/>
            <w:tcBorders>
              <w:top w:val="single" w:color="auto" w:sz="4" w:space="0"/>
              <w:left w:val="single" w:color="auto" w:sz="4" w:space="0"/>
              <w:bottom w:val="single" w:color="auto" w:sz="4" w:space="0"/>
              <w:right w:val="single" w:color="auto" w:sz="4" w:space="0"/>
            </w:tcBorders>
            <w:vAlign w:val="center"/>
          </w:tcPr>
          <w:p w14:paraId="4EDDCA5B">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w:t>
            </w:r>
          </w:p>
        </w:tc>
        <w:tc>
          <w:tcPr>
            <w:tcW w:w="1290" w:type="dxa"/>
            <w:tcBorders>
              <w:top w:val="single" w:color="auto" w:sz="4" w:space="0"/>
              <w:left w:val="single" w:color="auto" w:sz="4" w:space="0"/>
              <w:bottom w:val="single" w:color="auto" w:sz="4" w:space="0"/>
              <w:right w:val="single" w:color="auto" w:sz="4" w:space="0"/>
            </w:tcBorders>
            <w:vAlign w:val="center"/>
          </w:tcPr>
          <w:p w14:paraId="711E4E55">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13,500,000</w:t>
            </w:r>
          </w:p>
        </w:tc>
        <w:tc>
          <w:tcPr>
            <w:tcW w:w="675" w:type="dxa"/>
            <w:tcBorders>
              <w:top w:val="single" w:color="auto" w:sz="4" w:space="0"/>
              <w:left w:val="single" w:color="auto" w:sz="4" w:space="0"/>
              <w:bottom w:val="single" w:color="auto" w:sz="4" w:space="0"/>
              <w:right w:val="single" w:color="auto" w:sz="4" w:space="0"/>
            </w:tcBorders>
            <w:vAlign w:val="center"/>
          </w:tcPr>
          <w:p w14:paraId="31FE750A">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w:t>
            </w:r>
          </w:p>
        </w:tc>
        <w:tc>
          <w:tcPr>
            <w:tcW w:w="675" w:type="dxa"/>
            <w:tcBorders>
              <w:top w:val="single" w:color="auto" w:sz="4" w:space="0"/>
              <w:left w:val="single" w:color="auto" w:sz="4" w:space="0"/>
              <w:bottom w:val="single" w:color="auto" w:sz="4" w:space="0"/>
              <w:right w:val="single" w:color="auto" w:sz="4" w:space="0"/>
            </w:tcBorders>
            <w:vAlign w:val="center"/>
          </w:tcPr>
          <w:p w14:paraId="6D8C03E7">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w:t>
            </w:r>
          </w:p>
        </w:tc>
        <w:tc>
          <w:tcPr>
            <w:tcW w:w="1035" w:type="dxa"/>
            <w:tcBorders>
              <w:top w:val="single" w:color="auto" w:sz="4" w:space="0"/>
              <w:left w:val="single" w:color="auto" w:sz="4" w:space="0"/>
              <w:bottom w:val="single" w:color="auto" w:sz="4" w:space="0"/>
              <w:right w:val="single" w:color="auto" w:sz="4" w:space="0"/>
            </w:tcBorders>
            <w:vAlign w:val="center"/>
          </w:tcPr>
          <w:p w14:paraId="54BDF36E">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w:t>
            </w:r>
          </w:p>
        </w:tc>
        <w:tc>
          <w:tcPr>
            <w:tcW w:w="1155" w:type="dxa"/>
            <w:tcBorders>
              <w:top w:val="single" w:color="auto" w:sz="4" w:space="0"/>
              <w:left w:val="single" w:color="auto" w:sz="4" w:space="0"/>
              <w:bottom w:val="single" w:color="auto" w:sz="4" w:space="0"/>
              <w:right w:val="single" w:color="auto" w:sz="4" w:space="0"/>
            </w:tcBorders>
            <w:vAlign w:val="center"/>
          </w:tcPr>
          <w:p w14:paraId="616C6FDF">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w:t>
            </w:r>
          </w:p>
        </w:tc>
        <w:tc>
          <w:tcPr>
            <w:tcW w:w="1320" w:type="dxa"/>
            <w:tcBorders>
              <w:left w:val="single" w:color="auto" w:sz="4" w:space="0"/>
              <w:bottom w:val="single" w:color="auto" w:sz="4" w:space="0"/>
              <w:right w:val="single" w:color="auto" w:sz="4" w:space="0"/>
            </w:tcBorders>
            <w:vAlign w:val="center"/>
          </w:tcPr>
          <w:p w14:paraId="4CB90CF1">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w:t>
            </w:r>
          </w:p>
        </w:tc>
        <w:tc>
          <w:tcPr>
            <w:tcW w:w="885" w:type="dxa"/>
            <w:tcBorders>
              <w:top w:val="single" w:color="auto" w:sz="4" w:space="0"/>
              <w:left w:val="single" w:color="auto" w:sz="4" w:space="0"/>
              <w:bottom w:val="single" w:color="auto" w:sz="4" w:space="0"/>
              <w:right w:val="single" w:color="auto" w:sz="4" w:space="0"/>
            </w:tcBorders>
            <w:vAlign w:val="center"/>
          </w:tcPr>
          <w:p w14:paraId="34EE736A">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10.99%</w:t>
            </w:r>
          </w:p>
        </w:tc>
        <w:tc>
          <w:tcPr>
            <w:tcW w:w="870" w:type="dxa"/>
            <w:tcBorders>
              <w:top w:val="single" w:color="auto" w:sz="4" w:space="0"/>
              <w:left w:val="single" w:color="auto" w:sz="4" w:space="0"/>
              <w:bottom w:val="single" w:color="auto" w:sz="4" w:space="0"/>
              <w:right w:val="single" w:color="auto" w:sz="4" w:space="0"/>
            </w:tcBorders>
            <w:vAlign w:val="center"/>
          </w:tcPr>
          <w:p w14:paraId="7357933F">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1.9</w:t>
            </w:r>
            <w:r>
              <w:rPr>
                <w:rFonts w:hint="eastAsia" w:asciiTheme="minorEastAsia" w:hAnsiTheme="minorEastAsia" w:eastAsiaTheme="minorEastAsia" w:cstheme="minorEastAsia"/>
                <w:szCs w:val="21"/>
                <w:highlight w:val="none"/>
                <w:lang w:val="en-US" w:eastAsia="zh-CN"/>
              </w:rPr>
              <w:t>0</w:t>
            </w:r>
            <w:r>
              <w:rPr>
                <w:rFonts w:hint="eastAsia" w:asciiTheme="minorEastAsia" w:hAnsiTheme="minorEastAsia" w:eastAsiaTheme="minorEastAsia" w:cstheme="minorEastAsia"/>
                <w:szCs w:val="21"/>
                <w:highlight w:val="none"/>
              </w:rPr>
              <w:t>%</w:t>
            </w:r>
          </w:p>
        </w:tc>
        <w:tc>
          <w:tcPr>
            <w:tcW w:w="909" w:type="dxa"/>
            <w:tcBorders>
              <w:top w:val="single" w:color="auto" w:sz="4" w:space="0"/>
              <w:left w:val="single" w:color="auto" w:sz="4" w:space="0"/>
              <w:bottom w:val="single" w:color="auto" w:sz="4" w:space="0"/>
              <w:right w:val="single" w:color="auto" w:sz="4" w:space="0"/>
            </w:tcBorders>
            <w:vAlign w:val="center"/>
          </w:tcPr>
          <w:p w14:paraId="3176EED4">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w:t>
            </w:r>
          </w:p>
        </w:tc>
      </w:tr>
    </w:tbl>
    <w:p w14:paraId="1EA11805">
      <w:pPr>
        <w:spacing w:line="420" w:lineRule="exact"/>
        <w:ind w:firstLine="480" w:firstLineChars="200"/>
        <w:rPr>
          <w:rFonts w:hint="eastAsia" w:asciiTheme="minorEastAsia" w:hAnsiTheme="minorEastAsia" w:eastAsiaTheme="minorEastAsia"/>
          <w:sz w:val="24"/>
        </w:rPr>
      </w:pPr>
      <w:r>
        <w:rPr>
          <w:rFonts w:hint="eastAsia" w:asciiTheme="minorEastAsia" w:hAnsiTheme="minorEastAsia" w:eastAsiaTheme="minorEastAsia"/>
          <w:sz w:val="24"/>
        </w:rPr>
        <w:t>2、本次质押股份不存在被用作重大资产重组业绩补偿等事项的担保或其他保障用途等情况。</w:t>
      </w:r>
    </w:p>
    <w:p w14:paraId="5810DCA9">
      <w:pPr>
        <w:spacing w:line="420" w:lineRule="exact"/>
        <w:ind w:firstLine="480" w:firstLineChars="200"/>
        <w:rPr>
          <w:rFonts w:hint="eastAsia" w:asciiTheme="minorEastAsia" w:hAnsiTheme="minorEastAsia" w:eastAsiaTheme="minorEastAsia"/>
          <w:sz w:val="24"/>
        </w:rPr>
      </w:pPr>
      <w:r>
        <w:rPr>
          <w:rFonts w:hint="eastAsia" w:asciiTheme="minorEastAsia" w:hAnsiTheme="minorEastAsia" w:eastAsiaTheme="minorEastAsia"/>
          <w:sz w:val="24"/>
        </w:rPr>
        <w:t>3、股东累计质押股份情况</w:t>
      </w:r>
    </w:p>
    <w:p w14:paraId="05874D62">
      <w:pPr>
        <w:adjustRightInd w:val="0"/>
        <w:snapToGrid w:val="0"/>
        <w:spacing w:line="560" w:lineRule="exact"/>
        <w:ind w:firstLine="480" w:firstLineChars="200"/>
        <w:rPr>
          <w:rFonts w:hint="eastAsia" w:asciiTheme="minorEastAsia" w:hAnsiTheme="minorEastAsia" w:eastAsiaTheme="minorEastAsia"/>
          <w:sz w:val="24"/>
        </w:rPr>
      </w:pPr>
      <w:r>
        <w:rPr>
          <w:rFonts w:hint="eastAsia" w:asciiTheme="minorEastAsia" w:hAnsiTheme="minorEastAsia" w:eastAsiaTheme="minorEastAsia"/>
          <w:sz w:val="24"/>
        </w:rPr>
        <w:t>截至公告披露日，控股股东累计质押股份情况如下：</w:t>
      </w:r>
    </w:p>
    <w:tbl>
      <w:tblPr>
        <w:tblStyle w:val="6"/>
        <w:tblW w:w="64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3"/>
        <w:gridCol w:w="1371"/>
        <w:gridCol w:w="846"/>
        <w:gridCol w:w="1266"/>
        <w:gridCol w:w="1371"/>
        <w:gridCol w:w="846"/>
        <w:gridCol w:w="846"/>
        <w:gridCol w:w="936"/>
        <w:gridCol w:w="830"/>
        <w:gridCol w:w="835"/>
        <w:gridCol w:w="882"/>
      </w:tblGrid>
      <w:tr w14:paraId="789BF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8" w:hRule="atLeast"/>
          <w:jc w:val="center"/>
        </w:trPr>
        <w:tc>
          <w:tcPr>
            <w:tcW w:w="479" w:type="pct"/>
            <w:vMerge w:val="restart"/>
            <w:tcBorders>
              <w:top w:val="single" w:color="auto" w:sz="4" w:space="0"/>
              <w:left w:val="single" w:color="auto" w:sz="4" w:space="0"/>
              <w:right w:val="single" w:color="auto" w:sz="4" w:space="0"/>
            </w:tcBorders>
            <w:vAlign w:val="center"/>
          </w:tcPr>
          <w:p w14:paraId="2530D920">
            <w:pPr>
              <w:jc w:val="center"/>
              <w:rPr>
                <w:rFonts w:hint="eastAsia" w:asciiTheme="minorEastAsia" w:hAnsiTheme="minorEastAsia" w:eastAsiaTheme="minorEastAsia"/>
                <w:szCs w:val="21"/>
              </w:rPr>
            </w:pPr>
            <w:r>
              <w:rPr>
                <w:rFonts w:hint="eastAsia" w:asciiTheme="minorEastAsia" w:hAnsiTheme="minorEastAsia" w:eastAsiaTheme="minorEastAsia"/>
                <w:szCs w:val="21"/>
              </w:rPr>
              <w:t>股东名称</w:t>
            </w:r>
          </w:p>
        </w:tc>
        <w:tc>
          <w:tcPr>
            <w:tcW w:w="619" w:type="pct"/>
            <w:vMerge w:val="restart"/>
            <w:tcBorders>
              <w:top w:val="single" w:color="auto" w:sz="4" w:space="0"/>
              <w:left w:val="single" w:color="auto" w:sz="4" w:space="0"/>
              <w:right w:val="single" w:color="auto" w:sz="4" w:space="0"/>
            </w:tcBorders>
            <w:vAlign w:val="center"/>
          </w:tcPr>
          <w:p w14:paraId="570D308C">
            <w:pPr>
              <w:jc w:val="center"/>
              <w:rPr>
                <w:rFonts w:hint="eastAsia" w:asciiTheme="minorEastAsia" w:hAnsiTheme="minorEastAsia" w:eastAsiaTheme="minorEastAsia"/>
                <w:szCs w:val="21"/>
              </w:rPr>
            </w:pPr>
            <w:r>
              <w:rPr>
                <w:rFonts w:hint="eastAsia" w:asciiTheme="minorEastAsia" w:hAnsiTheme="minorEastAsia" w:eastAsiaTheme="minorEastAsia"/>
                <w:szCs w:val="21"/>
              </w:rPr>
              <w:t>持股数量(股)</w:t>
            </w:r>
          </w:p>
        </w:tc>
        <w:tc>
          <w:tcPr>
            <w:tcW w:w="382" w:type="pct"/>
            <w:vMerge w:val="restart"/>
            <w:tcBorders>
              <w:top w:val="single" w:color="auto" w:sz="4" w:space="0"/>
              <w:left w:val="single" w:color="auto" w:sz="4" w:space="0"/>
              <w:right w:val="single" w:color="auto" w:sz="4" w:space="0"/>
            </w:tcBorders>
            <w:vAlign w:val="center"/>
          </w:tcPr>
          <w:p w14:paraId="339A9457">
            <w:pPr>
              <w:jc w:val="center"/>
              <w:rPr>
                <w:rFonts w:hint="eastAsia" w:asciiTheme="minorEastAsia" w:hAnsiTheme="minorEastAsia" w:eastAsiaTheme="minorEastAsia"/>
                <w:szCs w:val="21"/>
              </w:rPr>
            </w:pPr>
            <w:r>
              <w:rPr>
                <w:rFonts w:hint="eastAsia" w:asciiTheme="minorEastAsia" w:hAnsiTheme="minorEastAsia" w:eastAsiaTheme="minorEastAsia"/>
                <w:szCs w:val="21"/>
              </w:rPr>
              <w:t>持股比例</w:t>
            </w:r>
          </w:p>
        </w:tc>
        <w:tc>
          <w:tcPr>
            <w:tcW w:w="572" w:type="pct"/>
            <w:vMerge w:val="restart"/>
            <w:tcBorders>
              <w:top w:val="single" w:color="auto" w:sz="4" w:space="0"/>
              <w:left w:val="single" w:color="auto" w:sz="4" w:space="0"/>
              <w:right w:val="single" w:color="auto" w:sz="4" w:space="0"/>
            </w:tcBorders>
            <w:vAlign w:val="center"/>
          </w:tcPr>
          <w:p w14:paraId="14400E22">
            <w:pPr>
              <w:jc w:val="center"/>
              <w:rPr>
                <w:rFonts w:hint="eastAsia" w:asciiTheme="minorEastAsia" w:hAnsiTheme="minorEastAsia" w:eastAsiaTheme="minorEastAsia"/>
                <w:szCs w:val="21"/>
              </w:rPr>
            </w:pPr>
            <w:r>
              <w:rPr>
                <w:rFonts w:hint="eastAsia" w:asciiTheme="minorEastAsia" w:hAnsiTheme="minorEastAsia" w:eastAsiaTheme="minorEastAsia"/>
                <w:szCs w:val="21"/>
              </w:rPr>
              <w:t>本次质押前累计质押数量(股)</w:t>
            </w:r>
          </w:p>
        </w:tc>
        <w:tc>
          <w:tcPr>
            <w:tcW w:w="572" w:type="pct"/>
            <w:vMerge w:val="restart"/>
            <w:tcBorders>
              <w:top w:val="single" w:color="auto" w:sz="4" w:space="0"/>
              <w:left w:val="single" w:color="auto" w:sz="4" w:space="0"/>
              <w:right w:val="single" w:color="auto" w:sz="4" w:space="0"/>
            </w:tcBorders>
            <w:vAlign w:val="center"/>
          </w:tcPr>
          <w:p w14:paraId="6EAEED62">
            <w:pPr>
              <w:jc w:val="center"/>
              <w:rPr>
                <w:rFonts w:hint="eastAsia" w:asciiTheme="minorEastAsia" w:hAnsiTheme="minorEastAsia" w:eastAsiaTheme="minorEastAsia"/>
                <w:szCs w:val="21"/>
              </w:rPr>
            </w:pPr>
            <w:r>
              <w:rPr>
                <w:rFonts w:hint="eastAsia" w:asciiTheme="minorEastAsia" w:hAnsiTheme="minorEastAsia" w:eastAsiaTheme="minorEastAsia"/>
                <w:szCs w:val="21"/>
              </w:rPr>
              <w:t>本次质押后累计质押数量(股)</w:t>
            </w:r>
          </w:p>
        </w:tc>
        <w:tc>
          <w:tcPr>
            <w:tcW w:w="382" w:type="pct"/>
            <w:vMerge w:val="restart"/>
            <w:tcBorders>
              <w:top w:val="single" w:color="auto" w:sz="4" w:space="0"/>
              <w:left w:val="single" w:color="auto" w:sz="4" w:space="0"/>
              <w:right w:val="single" w:color="auto" w:sz="4" w:space="0"/>
            </w:tcBorders>
            <w:vAlign w:val="center"/>
          </w:tcPr>
          <w:p w14:paraId="5E657FBA">
            <w:pPr>
              <w:jc w:val="center"/>
              <w:rPr>
                <w:rFonts w:hint="eastAsia" w:asciiTheme="minorEastAsia" w:hAnsiTheme="minorEastAsia" w:eastAsiaTheme="minorEastAsia"/>
                <w:szCs w:val="21"/>
              </w:rPr>
            </w:pPr>
            <w:r>
              <w:rPr>
                <w:rFonts w:hint="eastAsia" w:asciiTheme="minorEastAsia" w:hAnsiTheme="minorEastAsia" w:eastAsiaTheme="minorEastAsia"/>
                <w:szCs w:val="21"/>
              </w:rPr>
              <w:t>占其所持股份比例</w:t>
            </w:r>
          </w:p>
        </w:tc>
        <w:tc>
          <w:tcPr>
            <w:tcW w:w="382" w:type="pct"/>
            <w:vMerge w:val="restart"/>
            <w:tcBorders>
              <w:top w:val="single" w:color="auto" w:sz="4" w:space="0"/>
              <w:left w:val="single" w:color="auto" w:sz="4" w:space="0"/>
              <w:right w:val="single" w:color="auto" w:sz="4" w:space="0"/>
            </w:tcBorders>
            <w:vAlign w:val="center"/>
          </w:tcPr>
          <w:p w14:paraId="2448F163">
            <w:pPr>
              <w:jc w:val="center"/>
              <w:rPr>
                <w:rFonts w:hint="eastAsia" w:asciiTheme="minorEastAsia" w:hAnsiTheme="minorEastAsia" w:eastAsiaTheme="minorEastAsia"/>
                <w:szCs w:val="21"/>
              </w:rPr>
            </w:pPr>
            <w:r>
              <w:rPr>
                <w:rFonts w:hint="eastAsia" w:asciiTheme="minorEastAsia" w:hAnsiTheme="minorEastAsia" w:eastAsiaTheme="minorEastAsia"/>
                <w:szCs w:val="21"/>
              </w:rPr>
              <w:t>占公司总股本比例</w:t>
            </w:r>
          </w:p>
        </w:tc>
        <w:tc>
          <w:tcPr>
            <w:tcW w:w="821" w:type="pct"/>
            <w:gridSpan w:val="2"/>
            <w:tcBorders>
              <w:top w:val="single" w:color="auto" w:sz="4" w:space="0"/>
              <w:left w:val="single" w:color="auto" w:sz="4" w:space="0"/>
              <w:bottom w:val="single" w:color="auto" w:sz="4" w:space="0"/>
              <w:right w:val="single" w:color="auto" w:sz="4" w:space="0"/>
            </w:tcBorders>
            <w:vAlign w:val="center"/>
          </w:tcPr>
          <w:p w14:paraId="224CCF2E">
            <w:pPr>
              <w:jc w:val="center"/>
              <w:rPr>
                <w:rFonts w:hint="eastAsia" w:asciiTheme="minorEastAsia" w:hAnsiTheme="minorEastAsia" w:eastAsiaTheme="minorEastAsia"/>
                <w:szCs w:val="21"/>
              </w:rPr>
            </w:pPr>
            <w:r>
              <w:rPr>
                <w:rFonts w:hint="eastAsia" w:asciiTheme="minorEastAsia" w:hAnsiTheme="minorEastAsia" w:eastAsiaTheme="minorEastAsia"/>
                <w:szCs w:val="21"/>
              </w:rPr>
              <w:t>已质押股份情况</w:t>
            </w:r>
          </w:p>
        </w:tc>
        <w:tc>
          <w:tcPr>
            <w:tcW w:w="791" w:type="pct"/>
            <w:gridSpan w:val="2"/>
            <w:tcBorders>
              <w:top w:val="single" w:color="auto" w:sz="4" w:space="0"/>
              <w:left w:val="single" w:color="auto" w:sz="4" w:space="0"/>
              <w:right w:val="single" w:color="auto" w:sz="4" w:space="0"/>
            </w:tcBorders>
            <w:vAlign w:val="center"/>
          </w:tcPr>
          <w:p w14:paraId="02E3FCF2">
            <w:pPr>
              <w:jc w:val="center"/>
              <w:rPr>
                <w:rFonts w:hint="eastAsia" w:asciiTheme="minorEastAsia" w:hAnsiTheme="minorEastAsia" w:eastAsiaTheme="minorEastAsia"/>
                <w:szCs w:val="21"/>
              </w:rPr>
            </w:pPr>
            <w:r>
              <w:rPr>
                <w:rFonts w:hint="eastAsia" w:asciiTheme="minorEastAsia" w:hAnsiTheme="minorEastAsia" w:eastAsiaTheme="minorEastAsia"/>
                <w:szCs w:val="21"/>
              </w:rPr>
              <w:t>未质押股份情况</w:t>
            </w:r>
          </w:p>
        </w:tc>
      </w:tr>
      <w:tr w14:paraId="1C76F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8" w:hRule="atLeast"/>
          <w:jc w:val="center"/>
        </w:trPr>
        <w:tc>
          <w:tcPr>
            <w:tcW w:w="479" w:type="pct"/>
            <w:vMerge w:val="continue"/>
            <w:tcBorders>
              <w:left w:val="single" w:color="auto" w:sz="4" w:space="0"/>
              <w:bottom w:val="single" w:color="auto" w:sz="4" w:space="0"/>
              <w:right w:val="single" w:color="auto" w:sz="4" w:space="0"/>
            </w:tcBorders>
            <w:vAlign w:val="center"/>
          </w:tcPr>
          <w:p w14:paraId="71B0617D">
            <w:pPr>
              <w:jc w:val="center"/>
              <w:rPr>
                <w:rFonts w:hint="eastAsia" w:asciiTheme="minorEastAsia" w:hAnsiTheme="minorEastAsia" w:eastAsiaTheme="minorEastAsia"/>
                <w:szCs w:val="21"/>
              </w:rPr>
            </w:pPr>
          </w:p>
        </w:tc>
        <w:tc>
          <w:tcPr>
            <w:tcW w:w="619" w:type="pct"/>
            <w:vMerge w:val="continue"/>
            <w:tcBorders>
              <w:left w:val="single" w:color="auto" w:sz="4" w:space="0"/>
              <w:bottom w:val="single" w:color="auto" w:sz="4" w:space="0"/>
              <w:right w:val="single" w:color="auto" w:sz="4" w:space="0"/>
            </w:tcBorders>
            <w:vAlign w:val="center"/>
          </w:tcPr>
          <w:p w14:paraId="1D80A99B">
            <w:pPr>
              <w:jc w:val="center"/>
              <w:rPr>
                <w:rFonts w:hint="eastAsia" w:asciiTheme="minorEastAsia" w:hAnsiTheme="minorEastAsia" w:eastAsiaTheme="minorEastAsia"/>
                <w:szCs w:val="21"/>
              </w:rPr>
            </w:pPr>
          </w:p>
        </w:tc>
        <w:tc>
          <w:tcPr>
            <w:tcW w:w="382" w:type="pct"/>
            <w:vMerge w:val="continue"/>
            <w:tcBorders>
              <w:left w:val="single" w:color="auto" w:sz="4" w:space="0"/>
              <w:bottom w:val="single" w:color="auto" w:sz="4" w:space="0"/>
              <w:right w:val="single" w:color="auto" w:sz="4" w:space="0"/>
            </w:tcBorders>
            <w:vAlign w:val="center"/>
          </w:tcPr>
          <w:p w14:paraId="600AB4E0">
            <w:pPr>
              <w:jc w:val="center"/>
              <w:rPr>
                <w:rFonts w:hint="eastAsia" w:asciiTheme="minorEastAsia" w:hAnsiTheme="minorEastAsia" w:eastAsiaTheme="minorEastAsia"/>
                <w:szCs w:val="21"/>
              </w:rPr>
            </w:pPr>
          </w:p>
        </w:tc>
        <w:tc>
          <w:tcPr>
            <w:tcW w:w="572" w:type="pct"/>
            <w:vMerge w:val="continue"/>
            <w:tcBorders>
              <w:left w:val="single" w:color="auto" w:sz="4" w:space="0"/>
              <w:bottom w:val="single" w:color="auto" w:sz="4" w:space="0"/>
              <w:right w:val="single" w:color="auto" w:sz="4" w:space="0"/>
            </w:tcBorders>
          </w:tcPr>
          <w:p w14:paraId="640792D4">
            <w:pPr>
              <w:jc w:val="center"/>
              <w:rPr>
                <w:rFonts w:hint="eastAsia" w:asciiTheme="minorEastAsia" w:hAnsiTheme="minorEastAsia" w:eastAsiaTheme="minorEastAsia"/>
                <w:szCs w:val="21"/>
              </w:rPr>
            </w:pPr>
          </w:p>
        </w:tc>
        <w:tc>
          <w:tcPr>
            <w:tcW w:w="572" w:type="pct"/>
            <w:vMerge w:val="continue"/>
            <w:tcBorders>
              <w:left w:val="single" w:color="auto" w:sz="4" w:space="0"/>
              <w:bottom w:val="single" w:color="auto" w:sz="4" w:space="0"/>
              <w:right w:val="single" w:color="auto" w:sz="4" w:space="0"/>
            </w:tcBorders>
            <w:vAlign w:val="center"/>
          </w:tcPr>
          <w:p w14:paraId="1D41EA9F">
            <w:pPr>
              <w:jc w:val="center"/>
              <w:rPr>
                <w:rFonts w:hint="eastAsia" w:asciiTheme="minorEastAsia" w:hAnsiTheme="minorEastAsia" w:eastAsiaTheme="minorEastAsia"/>
                <w:szCs w:val="21"/>
              </w:rPr>
            </w:pPr>
          </w:p>
        </w:tc>
        <w:tc>
          <w:tcPr>
            <w:tcW w:w="382" w:type="pct"/>
            <w:vMerge w:val="continue"/>
            <w:tcBorders>
              <w:left w:val="single" w:color="auto" w:sz="4" w:space="0"/>
              <w:bottom w:val="single" w:color="auto" w:sz="4" w:space="0"/>
              <w:right w:val="single" w:color="auto" w:sz="4" w:space="0"/>
            </w:tcBorders>
            <w:vAlign w:val="center"/>
          </w:tcPr>
          <w:p w14:paraId="2FA0F44B">
            <w:pPr>
              <w:jc w:val="center"/>
              <w:rPr>
                <w:rFonts w:hint="eastAsia" w:asciiTheme="minorEastAsia" w:hAnsiTheme="minorEastAsia" w:eastAsiaTheme="minorEastAsia"/>
                <w:szCs w:val="21"/>
              </w:rPr>
            </w:pPr>
          </w:p>
        </w:tc>
        <w:tc>
          <w:tcPr>
            <w:tcW w:w="382" w:type="pct"/>
            <w:vMerge w:val="continue"/>
            <w:tcBorders>
              <w:left w:val="single" w:color="auto" w:sz="4" w:space="0"/>
              <w:bottom w:val="single" w:color="auto" w:sz="4" w:space="0"/>
              <w:right w:val="single" w:color="auto" w:sz="4" w:space="0"/>
            </w:tcBorders>
            <w:vAlign w:val="center"/>
          </w:tcPr>
          <w:p w14:paraId="3196230A">
            <w:pPr>
              <w:jc w:val="center"/>
              <w:rPr>
                <w:rFonts w:hint="eastAsia" w:asciiTheme="minorEastAsia" w:hAnsiTheme="minorEastAsia" w:eastAsiaTheme="minorEastAsia"/>
                <w:szCs w:val="21"/>
              </w:rPr>
            </w:pPr>
          </w:p>
        </w:tc>
        <w:tc>
          <w:tcPr>
            <w:tcW w:w="438" w:type="pct"/>
            <w:tcBorders>
              <w:top w:val="single" w:color="auto" w:sz="4" w:space="0"/>
              <w:left w:val="single" w:color="auto" w:sz="4" w:space="0"/>
              <w:bottom w:val="single" w:color="auto" w:sz="4" w:space="0"/>
              <w:right w:val="single" w:color="auto" w:sz="4" w:space="0"/>
            </w:tcBorders>
            <w:vAlign w:val="center"/>
          </w:tcPr>
          <w:p w14:paraId="0231EDF4">
            <w:pPr>
              <w:jc w:val="center"/>
              <w:rPr>
                <w:rFonts w:hint="eastAsia" w:asciiTheme="minorEastAsia" w:hAnsiTheme="minorEastAsia" w:eastAsiaTheme="minorEastAsia"/>
                <w:szCs w:val="21"/>
              </w:rPr>
            </w:pPr>
            <w:r>
              <w:rPr>
                <w:rFonts w:hint="eastAsia" w:asciiTheme="minorEastAsia" w:hAnsiTheme="minorEastAsia" w:eastAsiaTheme="minorEastAsia"/>
                <w:szCs w:val="21"/>
              </w:rPr>
              <w:t>已质押股份中限售股份数量</w:t>
            </w:r>
          </w:p>
        </w:tc>
        <w:tc>
          <w:tcPr>
            <w:tcW w:w="383" w:type="pct"/>
            <w:tcBorders>
              <w:left w:val="single" w:color="auto" w:sz="4" w:space="0"/>
              <w:bottom w:val="single" w:color="auto" w:sz="4" w:space="0"/>
              <w:right w:val="single" w:color="auto" w:sz="4" w:space="0"/>
            </w:tcBorders>
            <w:vAlign w:val="center"/>
          </w:tcPr>
          <w:p w14:paraId="3E0420E8">
            <w:pPr>
              <w:jc w:val="center"/>
              <w:rPr>
                <w:rFonts w:hint="eastAsia" w:asciiTheme="minorEastAsia" w:hAnsiTheme="minorEastAsia" w:eastAsiaTheme="minorEastAsia"/>
                <w:szCs w:val="21"/>
              </w:rPr>
            </w:pPr>
            <w:r>
              <w:rPr>
                <w:rFonts w:hint="eastAsia" w:asciiTheme="minorEastAsia" w:hAnsiTheme="minorEastAsia" w:eastAsiaTheme="minorEastAsia"/>
                <w:szCs w:val="21"/>
              </w:rPr>
              <w:t>已质押股份中冻结股份数量</w:t>
            </w:r>
          </w:p>
        </w:tc>
        <w:tc>
          <w:tcPr>
            <w:tcW w:w="385" w:type="pct"/>
            <w:tcBorders>
              <w:left w:val="single" w:color="auto" w:sz="4" w:space="0"/>
              <w:bottom w:val="single" w:color="auto" w:sz="4" w:space="0"/>
              <w:right w:val="single" w:color="auto" w:sz="4" w:space="0"/>
            </w:tcBorders>
            <w:vAlign w:val="center"/>
          </w:tcPr>
          <w:p w14:paraId="037AF1C2">
            <w:pPr>
              <w:jc w:val="center"/>
              <w:rPr>
                <w:rFonts w:hint="eastAsia" w:asciiTheme="minorEastAsia" w:hAnsiTheme="minorEastAsia" w:eastAsiaTheme="minorEastAsia"/>
                <w:szCs w:val="21"/>
              </w:rPr>
            </w:pPr>
            <w:r>
              <w:rPr>
                <w:rFonts w:hint="eastAsia" w:asciiTheme="minorEastAsia" w:hAnsiTheme="minorEastAsia" w:eastAsiaTheme="minorEastAsia"/>
                <w:szCs w:val="21"/>
              </w:rPr>
              <w:t>未质押股份中限售股份数量</w:t>
            </w:r>
          </w:p>
        </w:tc>
        <w:tc>
          <w:tcPr>
            <w:tcW w:w="406" w:type="pct"/>
            <w:tcBorders>
              <w:left w:val="single" w:color="auto" w:sz="4" w:space="0"/>
              <w:bottom w:val="single" w:color="auto" w:sz="4" w:space="0"/>
              <w:right w:val="single" w:color="auto" w:sz="4" w:space="0"/>
            </w:tcBorders>
            <w:vAlign w:val="center"/>
          </w:tcPr>
          <w:p w14:paraId="230CB7E3">
            <w:pPr>
              <w:jc w:val="center"/>
              <w:rPr>
                <w:rFonts w:hint="eastAsia" w:asciiTheme="minorEastAsia" w:hAnsiTheme="minorEastAsia" w:eastAsiaTheme="minorEastAsia"/>
                <w:szCs w:val="21"/>
              </w:rPr>
            </w:pPr>
            <w:r>
              <w:rPr>
                <w:rFonts w:hint="eastAsia" w:asciiTheme="minorEastAsia" w:hAnsiTheme="minorEastAsia" w:eastAsiaTheme="minorEastAsia"/>
                <w:szCs w:val="21"/>
              </w:rPr>
              <w:t>未质押股份中冻结股份数量</w:t>
            </w:r>
          </w:p>
        </w:tc>
      </w:tr>
      <w:tr w14:paraId="582BF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1" w:hRule="atLeast"/>
          <w:jc w:val="center"/>
        </w:trPr>
        <w:tc>
          <w:tcPr>
            <w:tcW w:w="479" w:type="pct"/>
            <w:tcBorders>
              <w:top w:val="single" w:color="auto" w:sz="4" w:space="0"/>
              <w:left w:val="single" w:color="auto" w:sz="4" w:space="0"/>
              <w:bottom w:val="single" w:color="auto" w:sz="4" w:space="0"/>
              <w:right w:val="single" w:color="auto" w:sz="4" w:space="0"/>
            </w:tcBorders>
            <w:vAlign w:val="center"/>
          </w:tcPr>
          <w:p w14:paraId="5A023336">
            <w:pPr>
              <w:widowControl/>
              <w:jc w:val="center"/>
              <w:rPr>
                <w:rFonts w:hint="eastAsia" w:asciiTheme="minorEastAsia" w:hAnsiTheme="minorEastAsia" w:eastAsiaTheme="minorEastAsia"/>
                <w:szCs w:val="21"/>
              </w:rPr>
            </w:pPr>
            <w:r>
              <w:rPr>
                <w:rFonts w:hint="eastAsia" w:asciiTheme="minorEastAsia" w:hAnsiTheme="minorEastAsia" w:eastAsiaTheme="minorEastAsia"/>
                <w:szCs w:val="21"/>
              </w:rPr>
              <w:t>苏州吴中投资控股有限公司</w:t>
            </w:r>
          </w:p>
        </w:tc>
        <w:tc>
          <w:tcPr>
            <w:tcW w:w="619" w:type="pct"/>
            <w:tcBorders>
              <w:top w:val="single" w:color="auto" w:sz="4" w:space="0"/>
              <w:left w:val="single" w:color="auto" w:sz="4" w:space="0"/>
              <w:bottom w:val="single" w:color="auto" w:sz="4" w:space="0"/>
              <w:right w:val="single" w:color="auto" w:sz="4" w:space="0"/>
            </w:tcBorders>
            <w:vAlign w:val="center"/>
          </w:tcPr>
          <w:p w14:paraId="6888CDAE">
            <w:pPr>
              <w:jc w:val="center"/>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122,795,762</w:t>
            </w:r>
          </w:p>
        </w:tc>
        <w:tc>
          <w:tcPr>
            <w:tcW w:w="382" w:type="pct"/>
            <w:tcBorders>
              <w:top w:val="single" w:color="auto" w:sz="4" w:space="0"/>
              <w:left w:val="single" w:color="auto" w:sz="4" w:space="0"/>
              <w:bottom w:val="single" w:color="auto" w:sz="4" w:space="0"/>
              <w:right w:val="single" w:color="auto" w:sz="4" w:space="0"/>
            </w:tcBorders>
            <w:vAlign w:val="center"/>
          </w:tcPr>
          <w:p w14:paraId="7ABA9348">
            <w:pPr>
              <w:jc w:val="center"/>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17.24%</w:t>
            </w:r>
          </w:p>
        </w:tc>
        <w:tc>
          <w:tcPr>
            <w:tcW w:w="572" w:type="pct"/>
            <w:tcBorders>
              <w:top w:val="single" w:color="auto" w:sz="4" w:space="0"/>
              <w:left w:val="single" w:color="auto" w:sz="4" w:space="0"/>
              <w:bottom w:val="single" w:color="auto" w:sz="4" w:space="0"/>
              <w:right w:val="single" w:color="auto" w:sz="4" w:space="0"/>
            </w:tcBorders>
            <w:vAlign w:val="center"/>
          </w:tcPr>
          <w:p w14:paraId="3C5F916D">
            <w:pPr>
              <w:jc w:val="center"/>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91,75</w:t>
            </w:r>
            <w:r>
              <w:rPr>
                <w:rFonts w:asciiTheme="minorEastAsia" w:hAnsiTheme="minorEastAsia" w:eastAsiaTheme="minorEastAsia"/>
                <w:szCs w:val="21"/>
                <w:highlight w:val="none"/>
              </w:rPr>
              <w:t>0</w:t>
            </w:r>
            <w:r>
              <w:rPr>
                <w:rFonts w:hint="eastAsia" w:asciiTheme="minorEastAsia" w:hAnsiTheme="minorEastAsia" w:eastAsiaTheme="minorEastAsia"/>
                <w:szCs w:val="21"/>
                <w:highlight w:val="none"/>
              </w:rPr>
              <w:t>,</w:t>
            </w:r>
            <w:r>
              <w:rPr>
                <w:rFonts w:asciiTheme="minorEastAsia" w:hAnsiTheme="minorEastAsia" w:eastAsiaTheme="minorEastAsia"/>
                <w:szCs w:val="21"/>
                <w:highlight w:val="none"/>
              </w:rPr>
              <w:t>000</w:t>
            </w:r>
          </w:p>
        </w:tc>
        <w:tc>
          <w:tcPr>
            <w:tcW w:w="572" w:type="pct"/>
            <w:tcBorders>
              <w:top w:val="single" w:color="auto" w:sz="4" w:space="0"/>
              <w:left w:val="single" w:color="auto" w:sz="4" w:space="0"/>
              <w:bottom w:val="single" w:color="auto" w:sz="4" w:space="0"/>
              <w:right w:val="single" w:color="auto" w:sz="4" w:space="0"/>
            </w:tcBorders>
            <w:vAlign w:val="center"/>
          </w:tcPr>
          <w:p w14:paraId="0223EB3F">
            <w:pPr>
              <w:jc w:val="center"/>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105，25</w:t>
            </w:r>
            <w:r>
              <w:rPr>
                <w:rFonts w:asciiTheme="minorEastAsia" w:hAnsiTheme="minorEastAsia" w:eastAsiaTheme="minorEastAsia"/>
                <w:szCs w:val="21"/>
                <w:highlight w:val="none"/>
              </w:rPr>
              <w:t>0</w:t>
            </w:r>
            <w:r>
              <w:rPr>
                <w:rFonts w:hint="eastAsia" w:asciiTheme="minorEastAsia" w:hAnsiTheme="minorEastAsia" w:eastAsiaTheme="minorEastAsia"/>
                <w:szCs w:val="21"/>
                <w:highlight w:val="none"/>
              </w:rPr>
              <w:t>,</w:t>
            </w:r>
            <w:r>
              <w:rPr>
                <w:rFonts w:asciiTheme="minorEastAsia" w:hAnsiTheme="minorEastAsia" w:eastAsiaTheme="minorEastAsia"/>
                <w:szCs w:val="21"/>
                <w:highlight w:val="none"/>
              </w:rPr>
              <w:t>00</w:t>
            </w:r>
            <w:r>
              <w:rPr>
                <w:rFonts w:hint="eastAsia" w:asciiTheme="minorEastAsia" w:hAnsiTheme="minorEastAsia" w:eastAsiaTheme="minorEastAsia"/>
                <w:szCs w:val="21"/>
                <w:highlight w:val="none"/>
              </w:rPr>
              <w:t>0</w:t>
            </w:r>
          </w:p>
        </w:tc>
        <w:tc>
          <w:tcPr>
            <w:tcW w:w="382" w:type="pct"/>
            <w:tcBorders>
              <w:top w:val="single" w:color="auto" w:sz="4" w:space="0"/>
              <w:left w:val="single" w:color="auto" w:sz="4" w:space="0"/>
              <w:bottom w:val="single" w:color="auto" w:sz="4" w:space="0"/>
              <w:right w:val="single" w:color="auto" w:sz="4" w:space="0"/>
            </w:tcBorders>
            <w:vAlign w:val="center"/>
          </w:tcPr>
          <w:p w14:paraId="462497E0">
            <w:pPr>
              <w:jc w:val="center"/>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85.71</w:t>
            </w:r>
            <w:r>
              <w:rPr>
                <w:rFonts w:asciiTheme="minorEastAsia" w:hAnsiTheme="minorEastAsia" w:eastAsiaTheme="minorEastAsia"/>
                <w:szCs w:val="21"/>
                <w:highlight w:val="none"/>
              </w:rPr>
              <w:t>%</w:t>
            </w:r>
          </w:p>
        </w:tc>
        <w:tc>
          <w:tcPr>
            <w:tcW w:w="382" w:type="pct"/>
            <w:tcBorders>
              <w:top w:val="single" w:color="auto" w:sz="4" w:space="0"/>
              <w:left w:val="single" w:color="auto" w:sz="4" w:space="0"/>
              <w:bottom w:val="single" w:color="auto" w:sz="4" w:space="0"/>
              <w:right w:val="single" w:color="auto" w:sz="4" w:space="0"/>
            </w:tcBorders>
            <w:vAlign w:val="center"/>
          </w:tcPr>
          <w:p w14:paraId="3DD6A6D7">
            <w:pPr>
              <w:jc w:val="center"/>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14</w:t>
            </w:r>
            <w:r>
              <w:rPr>
                <w:rFonts w:asciiTheme="minorEastAsia" w:hAnsiTheme="minorEastAsia" w:eastAsiaTheme="minorEastAsia"/>
                <w:szCs w:val="21"/>
                <w:highlight w:val="none"/>
              </w:rPr>
              <w:t>.</w:t>
            </w:r>
            <w:r>
              <w:rPr>
                <w:rFonts w:hint="eastAsia" w:asciiTheme="minorEastAsia" w:hAnsiTheme="minorEastAsia" w:eastAsiaTheme="minorEastAsia"/>
                <w:szCs w:val="21"/>
                <w:highlight w:val="none"/>
              </w:rPr>
              <w:t>78</w:t>
            </w:r>
            <w:r>
              <w:rPr>
                <w:rFonts w:asciiTheme="minorEastAsia" w:hAnsiTheme="minorEastAsia" w:eastAsiaTheme="minorEastAsia"/>
                <w:szCs w:val="21"/>
                <w:highlight w:val="none"/>
              </w:rPr>
              <w:t>%</w:t>
            </w:r>
          </w:p>
        </w:tc>
        <w:tc>
          <w:tcPr>
            <w:tcW w:w="438" w:type="pct"/>
            <w:tcBorders>
              <w:top w:val="single" w:color="auto" w:sz="4" w:space="0"/>
              <w:left w:val="single" w:color="auto" w:sz="4" w:space="0"/>
              <w:bottom w:val="single" w:color="auto" w:sz="4" w:space="0"/>
              <w:right w:val="single" w:color="auto" w:sz="4" w:space="0"/>
            </w:tcBorders>
            <w:vAlign w:val="center"/>
          </w:tcPr>
          <w:p w14:paraId="301B5BD5">
            <w:pPr>
              <w:jc w:val="center"/>
              <w:rPr>
                <w:rFonts w:hint="eastAsia" w:asciiTheme="minorEastAsia" w:hAnsiTheme="minorEastAsia" w:eastAsiaTheme="minorEastAsia"/>
                <w:szCs w:val="21"/>
                <w:highlight w:val="none"/>
              </w:rPr>
            </w:pPr>
            <w:r>
              <w:rPr>
                <w:rFonts w:asciiTheme="minorEastAsia" w:hAnsiTheme="minorEastAsia" w:eastAsiaTheme="minorEastAsia"/>
                <w:szCs w:val="21"/>
                <w:highlight w:val="none"/>
              </w:rPr>
              <w:t>0</w:t>
            </w:r>
          </w:p>
        </w:tc>
        <w:tc>
          <w:tcPr>
            <w:tcW w:w="383" w:type="pct"/>
            <w:tcBorders>
              <w:top w:val="single" w:color="auto" w:sz="4" w:space="0"/>
              <w:left w:val="single" w:color="auto" w:sz="4" w:space="0"/>
              <w:bottom w:val="single" w:color="auto" w:sz="4" w:space="0"/>
              <w:right w:val="single" w:color="auto" w:sz="4" w:space="0"/>
            </w:tcBorders>
            <w:vAlign w:val="center"/>
          </w:tcPr>
          <w:p w14:paraId="6D2C3C1A">
            <w:pPr>
              <w:jc w:val="center"/>
              <w:rPr>
                <w:rFonts w:hint="eastAsia" w:asciiTheme="minorEastAsia" w:hAnsiTheme="minorEastAsia" w:eastAsiaTheme="minorEastAsia"/>
                <w:szCs w:val="21"/>
                <w:highlight w:val="none"/>
              </w:rPr>
            </w:pPr>
            <w:r>
              <w:rPr>
                <w:rFonts w:asciiTheme="minorEastAsia" w:hAnsiTheme="minorEastAsia" w:eastAsiaTheme="minorEastAsia"/>
                <w:szCs w:val="21"/>
                <w:highlight w:val="none"/>
              </w:rPr>
              <w:t>0</w:t>
            </w:r>
          </w:p>
        </w:tc>
        <w:tc>
          <w:tcPr>
            <w:tcW w:w="385" w:type="pct"/>
            <w:tcBorders>
              <w:top w:val="single" w:color="auto" w:sz="4" w:space="0"/>
              <w:left w:val="single" w:color="auto" w:sz="4" w:space="0"/>
              <w:bottom w:val="single" w:color="auto" w:sz="4" w:space="0"/>
              <w:right w:val="single" w:color="auto" w:sz="4" w:space="0"/>
            </w:tcBorders>
            <w:vAlign w:val="center"/>
          </w:tcPr>
          <w:p w14:paraId="0FB1355E">
            <w:pPr>
              <w:jc w:val="center"/>
              <w:rPr>
                <w:rFonts w:hint="eastAsia" w:asciiTheme="minorEastAsia" w:hAnsiTheme="minorEastAsia" w:eastAsiaTheme="minorEastAsia"/>
                <w:szCs w:val="21"/>
                <w:highlight w:val="none"/>
              </w:rPr>
            </w:pPr>
            <w:r>
              <w:rPr>
                <w:rFonts w:asciiTheme="minorEastAsia" w:hAnsiTheme="minorEastAsia" w:eastAsiaTheme="minorEastAsia"/>
                <w:szCs w:val="21"/>
                <w:highlight w:val="none"/>
              </w:rPr>
              <w:t>0</w:t>
            </w:r>
          </w:p>
        </w:tc>
        <w:tc>
          <w:tcPr>
            <w:tcW w:w="406" w:type="pct"/>
            <w:tcBorders>
              <w:top w:val="single" w:color="auto" w:sz="4" w:space="0"/>
              <w:left w:val="single" w:color="auto" w:sz="4" w:space="0"/>
              <w:bottom w:val="single" w:color="auto" w:sz="4" w:space="0"/>
              <w:right w:val="single" w:color="auto" w:sz="4" w:space="0"/>
            </w:tcBorders>
            <w:vAlign w:val="center"/>
          </w:tcPr>
          <w:p w14:paraId="57034D43">
            <w:pPr>
              <w:jc w:val="center"/>
              <w:rPr>
                <w:rFonts w:hint="eastAsia" w:asciiTheme="minorEastAsia" w:hAnsiTheme="minorEastAsia" w:eastAsiaTheme="minorEastAsia"/>
                <w:szCs w:val="21"/>
                <w:highlight w:val="none"/>
              </w:rPr>
            </w:pPr>
            <w:r>
              <w:rPr>
                <w:rFonts w:asciiTheme="minorEastAsia" w:hAnsiTheme="minorEastAsia" w:eastAsiaTheme="minorEastAsia"/>
                <w:szCs w:val="21"/>
                <w:highlight w:val="none"/>
              </w:rPr>
              <w:t>0</w:t>
            </w:r>
          </w:p>
        </w:tc>
      </w:tr>
      <w:tr w14:paraId="3931C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1" w:hRule="atLeast"/>
          <w:jc w:val="center"/>
        </w:trPr>
        <w:tc>
          <w:tcPr>
            <w:tcW w:w="479" w:type="pct"/>
            <w:tcBorders>
              <w:top w:val="single" w:color="auto" w:sz="4" w:space="0"/>
              <w:left w:val="single" w:color="auto" w:sz="4" w:space="0"/>
              <w:bottom w:val="single" w:color="auto" w:sz="4" w:space="0"/>
              <w:right w:val="single" w:color="auto" w:sz="4" w:space="0"/>
            </w:tcBorders>
            <w:vAlign w:val="center"/>
          </w:tcPr>
          <w:p w14:paraId="43188098">
            <w:pPr>
              <w:widowControl/>
              <w:jc w:val="center"/>
              <w:rPr>
                <w:rFonts w:hint="eastAsia" w:asciiTheme="minorEastAsia" w:hAnsiTheme="minorEastAsia" w:eastAsiaTheme="minorEastAsia"/>
                <w:szCs w:val="21"/>
              </w:rPr>
            </w:pPr>
            <w:r>
              <w:rPr>
                <w:rFonts w:hint="eastAsia" w:asciiTheme="minorEastAsia" w:hAnsiTheme="minorEastAsia" w:eastAsiaTheme="minorEastAsia"/>
                <w:szCs w:val="21"/>
              </w:rPr>
              <w:t>合计</w:t>
            </w:r>
          </w:p>
        </w:tc>
        <w:tc>
          <w:tcPr>
            <w:tcW w:w="619" w:type="pct"/>
            <w:tcBorders>
              <w:top w:val="single" w:color="auto" w:sz="4" w:space="0"/>
              <w:left w:val="single" w:color="auto" w:sz="4" w:space="0"/>
              <w:bottom w:val="single" w:color="auto" w:sz="4" w:space="0"/>
              <w:right w:val="single" w:color="auto" w:sz="4" w:space="0"/>
            </w:tcBorders>
            <w:vAlign w:val="center"/>
          </w:tcPr>
          <w:p w14:paraId="49697CD8">
            <w:pPr>
              <w:jc w:val="center"/>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122,795,762</w:t>
            </w:r>
          </w:p>
        </w:tc>
        <w:tc>
          <w:tcPr>
            <w:tcW w:w="382" w:type="pct"/>
            <w:tcBorders>
              <w:top w:val="single" w:color="auto" w:sz="4" w:space="0"/>
              <w:left w:val="single" w:color="auto" w:sz="4" w:space="0"/>
              <w:bottom w:val="single" w:color="auto" w:sz="4" w:space="0"/>
              <w:right w:val="single" w:color="auto" w:sz="4" w:space="0"/>
            </w:tcBorders>
            <w:vAlign w:val="center"/>
          </w:tcPr>
          <w:p w14:paraId="195E444A">
            <w:pPr>
              <w:jc w:val="center"/>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17.24%</w:t>
            </w:r>
          </w:p>
        </w:tc>
        <w:tc>
          <w:tcPr>
            <w:tcW w:w="1266" w:type="dxa"/>
            <w:tcBorders>
              <w:top w:val="single" w:color="auto" w:sz="4" w:space="0"/>
              <w:left w:val="single" w:color="auto" w:sz="4" w:space="0"/>
              <w:bottom w:val="single" w:color="auto" w:sz="4" w:space="0"/>
              <w:right w:val="single" w:color="auto" w:sz="4" w:space="0"/>
            </w:tcBorders>
            <w:vAlign w:val="center"/>
          </w:tcPr>
          <w:p w14:paraId="4E8B6101">
            <w:pPr>
              <w:jc w:val="center"/>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91,75</w:t>
            </w:r>
            <w:r>
              <w:rPr>
                <w:rFonts w:asciiTheme="minorEastAsia" w:hAnsiTheme="minorEastAsia" w:eastAsiaTheme="minorEastAsia"/>
                <w:szCs w:val="21"/>
                <w:highlight w:val="none"/>
              </w:rPr>
              <w:t>0</w:t>
            </w:r>
            <w:r>
              <w:rPr>
                <w:rFonts w:hint="eastAsia" w:asciiTheme="minorEastAsia" w:hAnsiTheme="minorEastAsia" w:eastAsiaTheme="minorEastAsia"/>
                <w:szCs w:val="21"/>
                <w:highlight w:val="none"/>
              </w:rPr>
              <w:t>,</w:t>
            </w:r>
            <w:r>
              <w:rPr>
                <w:rFonts w:asciiTheme="minorEastAsia" w:hAnsiTheme="minorEastAsia" w:eastAsiaTheme="minorEastAsia"/>
                <w:szCs w:val="21"/>
                <w:highlight w:val="none"/>
              </w:rPr>
              <w:t>000</w:t>
            </w:r>
          </w:p>
        </w:tc>
        <w:tc>
          <w:tcPr>
            <w:tcW w:w="1371" w:type="dxa"/>
            <w:tcBorders>
              <w:top w:val="single" w:color="auto" w:sz="4" w:space="0"/>
              <w:left w:val="single" w:color="auto" w:sz="4" w:space="0"/>
              <w:bottom w:val="single" w:color="auto" w:sz="4" w:space="0"/>
              <w:right w:val="single" w:color="auto" w:sz="4" w:space="0"/>
            </w:tcBorders>
            <w:vAlign w:val="center"/>
          </w:tcPr>
          <w:p w14:paraId="102EA8A1">
            <w:pPr>
              <w:jc w:val="center"/>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105,25</w:t>
            </w:r>
            <w:r>
              <w:rPr>
                <w:rFonts w:asciiTheme="minorEastAsia" w:hAnsiTheme="minorEastAsia" w:eastAsiaTheme="minorEastAsia"/>
                <w:szCs w:val="21"/>
                <w:highlight w:val="none"/>
              </w:rPr>
              <w:t>0</w:t>
            </w:r>
            <w:r>
              <w:rPr>
                <w:rFonts w:hint="eastAsia" w:asciiTheme="minorEastAsia" w:hAnsiTheme="minorEastAsia" w:eastAsiaTheme="minorEastAsia"/>
                <w:szCs w:val="21"/>
                <w:highlight w:val="none"/>
              </w:rPr>
              <w:t>,</w:t>
            </w:r>
            <w:r>
              <w:rPr>
                <w:rFonts w:asciiTheme="minorEastAsia" w:hAnsiTheme="minorEastAsia" w:eastAsiaTheme="minorEastAsia"/>
                <w:szCs w:val="21"/>
                <w:highlight w:val="none"/>
              </w:rPr>
              <w:t>00</w:t>
            </w:r>
            <w:r>
              <w:rPr>
                <w:rFonts w:hint="eastAsia" w:asciiTheme="minorEastAsia" w:hAnsiTheme="minorEastAsia" w:eastAsiaTheme="minorEastAsia"/>
                <w:szCs w:val="21"/>
                <w:highlight w:val="none"/>
              </w:rPr>
              <w:t>0</w:t>
            </w:r>
          </w:p>
        </w:tc>
        <w:tc>
          <w:tcPr>
            <w:tcW w:w="846" w:type="dxa"/>
            <w:tcBorders>
              <w:top w:val="single" w:color="auto" w:sz="4" w:space="0"/>
              <w:left w:val="single" w:color="auto" w:sz="4" w:space="0"/>
              <w:bottom w:val="single" w:color="auto" w:sz="4" w:space="0"/>
              <w:right w:val="single" w:color="auto" w:sz="4" w:space="0"/>
            </w:tcBorders>
            <w:vAlign w:val="center"/>
          </w:tcPr>
          <w:p w14:paraId="6AF37FCB">
            <w:pPr>
              <w:jc w:val="center"/>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85.71</w:t>
            </w:r>
            <w:r>
              <w:rPr>
                <w:rFonts w:asciiTheme="minorEastAsia" w:hAnsiTheme="minorEastAsia" w:eastAsiaTheme="minorEastAsia"/>
                <w:szCs w:val="21"/>
                <w:highlight w:val="none"/>
              </w:rPr>
              <w:t>%</w:t>
            </w:r>
          </w:p>
        </w:tc>
        <w:tc>
          <w:tcPr>
            <w:tcW w:w="846" w:type="dxa"/>
            <w:tcBorders>
              <w:top w:val="single" w:color="auto" w:sz="4" w:space="0"/>
              <w:left w:val="single" w:color="auto" w:sz="4" w:space="0"/>
              <w:bottom w:val="single" w:color="auto" w:sz="4" w:space="0"/>
              <w:right w:val="single" w:color="auto" w:sz="4" w:space="0"/>
            </w:tcBorders>
            <w:vAlign w:val="center"/>
          </w:tcPr>
          <w:p w14:paraId="08B71A42">
            <w:pPr>
              <w:jc w:val="center"/>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14</w:t>
            </w:r>
            <w:r>
              <w:rPr>
                <w:rFonts w:asciiTheme="minorEastAsia" w:hAnsiTheme="minorEastAsia" w:eastAsiaTheme="minorEastAsia"/>
                <w:szCs w:val="21"/>
                <w:highlight w:val="none"/>
              </w:rPr>
              <w:t>.</w:t>
            </w:r>
            <w:r>
              <w:rPr>
                <w:rFonts w:hint="eastAsia" w:asciiTheme="minorEastAsia" w:hAnsiTheme="minorEastAsia" w:eastAsiaTheme="minorEastAsia"/>
                <w:szCs w:val="21"/>
                <w:highlight w:val="none"/>
              </w:rPr>
              <w:t>78</w:t>
            </w:r>
            <w:r>
              <w:rPr>
                <w:rFonts w:asciiTheme="minorEastAsia" w:hAnsiTheme="minorEastAsia" w:eastAsiaTheme="minorEastAsia"/>
                <w:szCs w:val="21"/>
                <w:highlight w:val="none"/>
              </w:rPr>
              <w:t>%</w:t>
            </w:r>
          </w:p>
        </w:tc>
        <w:tc>
          <w:tcPr>
            <w:tcW w:w="438" w:type="pct"/>
            <w:tcBorders>
              <w:top w:val="single" w:color="auto" w:sz="4" w:space="0"/>
              <w:left w:val="single" w:color="auto" w:sz="4" w:space="0"/>
              <w:bottom w:val="single" w:color="auto" w:sz="4" w:space="0"/>
              <w:right w:val="single" w:color="auto" w:sz="4" w:space="0"/>
            </w:tcBorders>
            <w:vAlign w:val="center"/>
          </w:tcPr>
          <w:p w14:paraId="11D439A3">
            <w:pPr>
              <w:jc w:val="center"/>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w:t>
            </w:r>
          </w:p>
        </w:tc>
        <w:tc>
          <w:tcPr>
            <w:tcW w:w="383" w:type="pct"/>
            <w:tcBorders>
              <w:top w:val="single" w:color="auto" w:sz="4" w:space="0"/>
              <w:left w:val="single" w:color="auto" w:sz="4" w:space="0"/>
              <w:bottom w:val="single" w:color="auto" w:sz="4" w:space="0"/>
              <w:right w:val="single" w:color="auto" w:sz="4" w:space="0"/>
            </w:tcBorders>
            <w:vAlign w:val="center"/>
          </w:tcPr>
          <w:p w14:paraId="770E8DB7">
            <w:pPr>
              <w:jc w:val="center"/>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w:t>
            </w:r>
          </w:p>
        </w:tc>
        <w:tc>
          <w:tcPr>
            <w:tcW w:w="385" w:type="pct"/>
            <w:tcBorders>
              <w:top w:val="single" w:color="auto" w:sz="4" w:space="0"/>
              <w:left w:val="single" w:color="auto" w:sz="4" w:space="0"/>
              <w:bottom w:val="single" w:color="auto" w:sz="4" w:space="0"/>
              <w:right w:val="single" w:color="auto" w:sz="4" w:space="0"/>
            </w:tcBorders>
            <w:vAlign w:val="center"/>
          </w:tcPr>
          <w:p w14:paraId="77FD7FFE">
            <w:pPr>
              <w:jc w:val="center"/>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w:t>
            </w:r>
          </w:p>
        </w:tc>
        <w:tc>
          <w:tcPr>
            <w:tcW w:w="406" w:type="pct"/>
            <w:tcBorders>
              <w:top w:val="single" w:color="auto" w:sz="4" w:space="0"/>
              <w:left w:val="single" w:color="auto" w:sz="4" w:space="0"/>
              <w:bottom w:val="single" w:color="auto" w:sz="4" w:space="0"/>
              <w:right w:val="single" w:color="auto" w:sz="4" w:space="0"/>
            </w:tcBorders>
            <w:vAlign w:val="center"/>
          </w:tcPr>
          <w:p w14:paraId="3D4AB8FA">
            <w:pPr>
              <w:jc w:val="center"/>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w:t>
            </w:r>
          </w:p>
        </w:tc>
      </w:tr>
    </w:tbl>
    <w:p w14:paraId="16CDCC8A">
      <w:pPr>
        <w:spacing w:line="360" w:lineRule="auto"/>
        <w:ind w:firstLine="482" w:firstLineChars="200"/>
        <w:rPr>
          <w:rFonts w:hint="eastAsia" w:asciiTheme="minorEastAsia" w:hAnsiTheme="minorEastAsia" w:eastAsiaTheme="minorEastAsia"/>
          <w:b/>
          <w:sz w:val="24"/>
        </w:rPr>
      </w:pPr>
    </w:p>
    <w:p w14:paraId="68EC1661">
      <w:pPr>
        <w:spacing w:line="360" w:lineRule="auto"/>
        <w:ind w:firstLine="482" w:firstLineChars="200"/>
        <w:rPr>
          <w:rFonts w:hint="eastAsia" w:asciiTheme="minorEastAsia" w:hAnsiTheme="minorEastAsia" w:eastAsiaTheme="minorEastAsia"/>
          <w:b/>
          <w:sz w:val="24"/>
        </w:rPr>
      </w:pPr>
      <w:r>
        <w:rPr>
          <w:rFonts w:hint="eastAsia" w:asciiTheme="minorEastAsia" w:hAnsiTheme="minorEastAsia" w:eastAsiaTheme="minorEastAsia"/>
          <w:b/>
          <w:sz w:val="24"/>
        </w:rPr>
        <w:t>二、控股股东股份质押情况</w:t>
      </w:r>
    </w:p>
    <w:p w14:paraId="0D1E457D">
      <w:pPr>
        <w:spacing w:line="360" w:lineRule="auto"/>
        <w:ind w:firstLine="480" w:firstLineChars="200"/>
        <w:rPr>
          <w:rFonts w:hint="eastAsia" w:asciiTheme="minorEastAsia" w:hAnsiTheme="minorEastAsia" w:eastAsiaTheme="minorEastAsia"/>
          <w:sz w:val="24"/>
          <w:highlight w:val="none"/>
        </w:rPr>
      </w:pPr>
      <w:r>
        <w:rPr>
          <w:rFonts w:hint="eastAsia" w:asciiTheme="minorEastAsia" w:hAnsiTheme="minorEastAsia" w:eastAsiaTheme="minorEastAsia"/>
          <w:sz w:val="24"/>
          <w:highlight w:val="none"/>
        </w:rPr>
        <w:t>1、控股股东未来半年内到期的质押股份数量为23</w:t>
      </w:r>
      <w:r>
        <w:rPr>
          <w:rFonts w:hint="eastAsia" w:asciiTheme="minorEastAsia" w:hAnsiTheme="minorEastAsia" w:eastAsiaTheme="minorEastAsia"/>
          <w:sz w:val="24"/>
          <w:highlight w:val="none"/>
          <w:lang w:val="en-US" w:eastAsia="zh-CN"/>
        </w:rPr>
        <w:t>,</w:t>
      </w:r>
      <w:r>
        <w:rPr>
          <w:rFonts w:hint="eastAsia" w:asciiTheme="minorEastAsia" w:hAnsiTheme="minorEastAsia" w:eastAsiaTheme="minorEastAsia"/>
          <w:sz w:val="24"/>
          <w:highlight w:val="none"/>
        </w:rPr>
        <w:t>100</w:t>
      </w:r>
      <w:r>
        <w:rPr>
          <w:rFonts w:hint="eastAsia" w:asciiTheme="minorEastAsia" w:hAnsiTheme="minorEastAsia" w:eastAsiaTheme="minorEastAsia"/>
          <w:sz w:val="24"/>
          <w:highlight w:val="none"/>
          <w:lang w:val="en-US" w:eastAsia="zh-CN"/>
        </w:rPr>
        <w:t>,</w:t>
      </w:r>
      <w:r>
        <w:rPr>
          <w:rFonts w:hint="eastAsia" w:asciiTheme="minorEastAsia" w:hAnsiTheme="minorEastAsia" w:eastAsiaTheme="minorEastAsia"/>
          <w:sz w:val="24"/>
          <w:highlight w:val="none"/>
        </w:rPr>
        <w:t>000股，占其所持股份比例18.81%，占公司总股本比例为3.24%，对应融资余额为9</w:t>
      </w:r>
      <w:r>
        <w:rPr>
          <w:rFonts w:hint="eastAsia" w:asciiTheme="minorEastAsia" w:hAnsiTheme="minorEastAsia" w:eastAsiaTheme="minorEastAsia"/>
          <w:sz w:val="24"/>
          <w:highlight w:val="none"/>
          <w:lang w:val="en-US" w:eastAsia="zh-CN"/>
        </w:rPr>
        <w:t>,</w:t>
      </w:r>
      <w:r>
        <w:rPr>
          <w:rFonts w:hint="eastAsia" w:asciiTheme="minorEastAsia" w:hAnsiTheme="minorEastAsia" w:eastAsiaTheme="minorEastAsia"/>
          <w:sz w:val="24"/>
          <w:highlight w:val="none"/>
        </w:rPr>
        <w:t>000万元；</w:t>
      </w:r>
    </w:p>
    <w:p w14:paraId="05670391">
      <w:pPr>
        <w:spacing w:line="360" w:lineRule="auto"/>
        <w:ind w:firstLine="480" w:firstLineChars="200"/>
        <w:rPr>
          <w:rFonts w:hint="eastAsia" w:asciiTheme="minorEastAsia" w:hAnsiTheme="minorEastAsia" w:eastAsiaTheme="minorEastAsia"/>
          <w:sz w:val="24"/>
          <w:highlight w:val="none"/>
        </w:rPr>
      </w:pPr>
      <w:r>
        <w:rPr>
          <w:rFonts w:hint="eastAsia" w:asciiTheme="minorEastAsia" w:hAnsiTheme="minorEastAsia" w:eastAsiaTheme="minorEastAsia"/>
          <w:sz w:val="24"/>
          <w:highlight w:val="none"/>
        </w:rPr>
        <w:t>控股股东未来一年内到期的质押股份数量为25</w:t>
      </w:r>
      <w:r>
        <w:rPr>
          <w:rFonts w:hint="eastAsia" w:asciiTheme="minorEastAsia" w:hAnsiTheme="minorEastAsia" w:eastAsiaTheme="minorEastAsia"/>
          <w:sz w:val="24"/>
          <w:highlight w:val="none"/>
          <w:lang w:val="en-US" w:eastAsia="zh-CN"/>
        </w:rPr>
        <w:t>,</w:t>
      </w:r>
      <w:r>
        <w:rPr>
          <w:rFonts w:hint="eastAsia" w:asciiTheme="minorEastAsia" w:hAnsiTheme="minorEastAsia" w:eastAsiaTheme="minorEastAsia"/>
          <w:sz w:val="24"/>
          <w:highlight w:val="none"/>
        </w:rPr>
        <w:t>500</w:t>
      </w:r>
      <w:r>
        <w:rPr>
          <w:rFonts w:hint="eastAsia" w:asciiTheme="minorEastAsia" w:hAnsiTheme="minorEastAsia" w:eastAsiaTheme="minorEastAsia"/>
          <w:sz w:val="24"/>
          <w:highlight w:val="none"/>
          <w:lang w:val="en-US" w:eastAsia="zh-CN"/>
        </w:rPr>
        <w:t>,</w:t>
      </w:r>
      <w:r>
        <w:rPr>
          <w:rFonts w:hint="eastAsia" w:asciiTheme="minorEastAsia" w:hAnsiTheme="minorEastAsia" w:eastAsiaTheme="minorEastAsia"/>
          <w:sz w:val="24"/>
          <w:highlight w:val="none"/>
        </w:rPr>
        <w:t>000股，占其所持股份比例20.77%，占公司总股本比例为3.58%，对应融资余额为9</w:t>
      </w:r>
      <w:r>
        <w:rPr>
          <w:rFonts w:hint="eastAsia" w:asciiTheme="minorEastAsia" w:hAnsiTheme="minorEastAsia" w:eastAsiaTheme="minorEastAsia"/>
          <w:sz w:val="24"/>
          <w:highlight w:val="none"/>
          <w:lang w:val="en-US" w:eastAsia="zh-CN"/>
        </w:rPr>
        <w:t>,</w:t>
      </w:r>
      <w:r>
        <w:rPr>
          <w:rFonts w:hint="eastAsia" w:asciiTheme="minorEastAsia" w:hAnsiTheme="minorEastAsia" w:eastAsiaTheme="minorEastAsia"/>
          <w:sz w:val="24"/>
          <w:highlight w:val="none"/>
        </w:rPr>
        <w:t>995万元。</w:t>
      </w:r>
    </w:p>
    <w:p w14:paraId="63CFA0E8">
      <w:pPr>
        <w:spacing w:line="360" w:lineRule="auto"/>
        <w:ind w:firstLine="480" w:firstLineChars="200"/>
        <w:rPr>
          <w:rFonts w:hint="eastAsia" w:asciiTheme="minorEastAsia" w:hAnsiTheme="minorEastAsia" w:eastAsiaTheme="minorEastAsia"/>
          <w:sz w:val="24"/>
        </w:rPr>
      </w:pPr>
      <w:r>
        <w:rPr>
          <w:rFonts w:hint="eastAsia" w:asciiTheme="minorEastAsia" w:hAnsiTheme="minorEastAsia" w:eastAsiaTheme="minorEastAsia"/>
          <w:sz w:val="24"/>
        </w:rPr>
        <w:t>控股股东具备相应的资金偿还能力，还款资金来源包括经营性现金流、投资收益等。</w:t>
      </w:r>
    </w:p>
    <w:p w14:paraId="572D21D5">
      <w:pPr>
        <w:spacing w:line="360" w:lineRule="auto"/>
        <w:ind w:firstLine="480" w:firstLineChars="200"/>
        <w:rPr>
          <w:rFonts w:hint="eastAsia" w:asciiTheme="minorEastAsia" w:hAnsiTheme="minorEastAsia" w:eastAsiaTheme="minorEastAsia"/>
          <w:sz w:val="24"/>
        </w:rPr>
      </w:pPr>
      <w:r>
        <w:rPr>
          <w:rFonts w:hint="eastAsia" w:asciiTheme="minorEastAsia" w:hAnsiTheme="minorEastAsia" w:eastAsiaTheme="minorEastAsia"/>
          <w:sz w:val="24"/>
        </w:rPr>
        <w:t>2、控股股东不存在通过非经营性资金占用、违规担保、关联交易等侵害上市公司利益的情况。</w:t>
      </w:r>
    </w:p>
    <w:p w14:paraId="2834F26A">
      <w:pPr>
        <w:spacing w:line="360" w:lineRule="auto"/>
        <w:ind w:firstLine="480" w:firstLineChars="200"/>
        <w:rPr>
          <w:rFonts w:hint="eastAsia" w:asciiTheme="minorEastAsia" w:hAnsiTheme="minorEastAsia" w:eastAsiaTheme="minorEastAsia"/>
          <w:sz w:val="24"/>
        </w:rPr>
      </w:pPr>
      <w:r>
        <w:rPr>
          <w:rFonts w:hint="eastAsia" w:asciiTheme="minorEastAsia" w:hAnsiTheme="minorEastAsia" w:eastAsiaTheme="minorEastAsia"/>
          <w:sz w:val="24"/>
        </w:rPr>
        <w:t>3、控股股东质押事项对上市公司的影响</w:t>
      </w:r>
    </w:p>
    <w:p w14:paraId="44BDC4D8">
      <w:pPr>
        <w:spacing w:line="360" w:lineRule="auto"/>
        <w:ind w:firstLine="480" w:firstLineChars="200"/>
        <w:rPr>
          <w:rFonts w:hint="eastAsia" w:asciiTheme="minorEastAsia" w:hAnsiTheme="minorEastAsia" w:eastAsiaTheme="minorEastAsia"/>
          <w:sz w:val="24"/>
        </w:rPr>
      </w:pPr>
      <w:r>
        <w:rPr>
          <w:rFonts w:hint="eastAsia" w:asciiTheme="minorEastAsia" w:hAnsiTheme="minorEastAsia" w:eastAsiaTheme="minorEastAsia"/>
          <w:sz w:val="24"/>
        </w:rPr>
        <w:t>（1）本次质押事项不会对公司生产经营、主营业务、融资授信及融资成本、持续经营能力产生影响。</w:t>
      </w:r>
    </w:p>
    <w:p w14:paraId="5026FEDB">
      <w:pPr>
        <w:spacing w:line="360" w:lineRule="auto"/>
        <w:ind w:firstLine="480" w:firstLineChars="200"/>
        <w:rPr>
          <w:rFonts w:hint="eastAsia" w:asciiTheme="minorEastAsia" w:hAnsiTheme="minorEastAsia" w:eastAsiaTheme="minorEastAsia"/>
          <w:sz w:val="24"/>
        </w:rPr>
      </w:pPr>
      <w:r>
        <w:rPr>
          <w:rFonts w:hint="eastAsia" w:asciiTheme="minorEastAsia" w:hAnsiTheme="minorEastAsia" w:eastAsiaTheme="minorEastAsia"/>
          <w:sz w:val="24"/>
        </w:rPr>
        <w:t>（2）本次质押事项不会对公司治理造成影响，公司的董事会成员不会因此产生变动，控股股东与公司在产权、业务、资产、人员等方面相互独立，不会导致公司实际控制权的变更。公司的股权结构不会因此发生变化，不会对公司日常管理产生影响。</w:t>
      </w:r>
    </w:p>
    <w:p w14:paraId="69748AF2">
      <w:pPr>
        <w:spacing w:line="360" w:lineRule="auto"/>
        <w:ind w:firstLine="480" w:firstLineChars="200"/>
        <w:rPr>
          <w:rFonts w:hint="eastAsia" w:asciiTheme="minorEastAsia" w:hAnsiTheme="minorEastAsia" w:eastAsiaTheme="minorEastAsia"/>
          <w:sz w:val="24"/>
        </w:rPr>
      </w:pPr>
      <w:r>
        <w:rPr>
          <w:rFonts w:hint="eastAsia" w:asciiTheme="minorEastAsia" w:hAnsiTheme="minorEastAsia" w:eastAsiaTheme="minorEastAsia"/>
          <w:sz w:val="24"/>
        </w:rPr>
        <w:t>（3）公司控股股东不存在业绩补偿义务。</w:t>
      </w:r>
    </w:p>
    <w:p w14:paraId="078340B0">
      <w:pPr>
        <w:spacing w:line="360" w:lineRule="auto"/>
        <w:ind w:firstLine="480" w:firstLineChars="200"/>
        <w:rPr>
          <w:rFonts w:hint="eastAsia" w:asciiTheme="minorEastAsia" w:hAnsiTheme="minorEastAsia" w:eastAsiaTheme="minorEastAsia"/>
          <w:sz w:val="24"/>
        </w:rPr>
      </w:pPr>
    </w:p>
    <w:p w14:paraId="320A0C56">
      <w:pPr>
        <w:numPr>
          <w:ilvl w:val="0"/>
          <w:numId w:val="2"/>
        </w:numPr>
        <w:spacing w:line="360" w:lineRule="auto"/>
        <w:ind w:firstLine="482"/>
        <w:rPr>
          <w:rFonts w:hint="eastAsia" w:asciiTheme="minorEastAsia" w:hAnsiTheme="minorEastAsia" w:eastAsiaTheme="minorEastAsia"/>
          <w:b/>
          <w:sz w:val="24"/>
        </w:rPr>
      </w:pPr>
      <w:r>
        <w:rPr>
          <w:rFonts w:hint="eastAsia" w:asciiTheme="minorEastAsia" w:hAnsiTheme="minorEastAsia" w:eastAsiaTheme="minorEastAsia"/>
          <w:b/>
          <w:sz w:val="24"/>
        </w:rPr>
        <w:t>控股股东资信情况及其他情况说明</w:t>
      </w:r>
    </w:p>
    <w:p w14:paraId="1AFD7B3F">
      <w:pPr>
        <w:spacing w:line="360" w:lineRule="auto"/>
        <w:ind w:firstLine="480" w:firstLineChars="200"/>
        <w:rPr>
          <w:rFonts w:hint="eastAsia" w:asciiTheme="minorEastAsia" w:hAnsiTheme="minorEastAsia" w:eastAsiaTheme="minorEastAsia"/>
          <w:sz w:val="24"/>
        </w:rPr>
      </w:pPr>
      <w:r>
        <w:rPr>
          <w:rFonts w:hint="eastAsia" w:asciiTheme="minorEastAsia" w:hAnsiTheme="minorEastAsia" w:eastAsiaTheme="minorEastAsia"/>
          <w:sz w:val="24"/>
        </w:rPr>
        <w:t>1、控股股东本次质押所融资金的具体用途及预计还款资金来源。</w:t>
      </w:r>
    </w:p>
    <w:p w14:paraId="168120BA">
      <w:pPr>
        <w:spacing w:line="360" w:lineRule="auto"/>
        <w:ind w:firstLine="480" w:firstLineChars="200"/>
        <w:rPr>
          <w:rFonts w:hint="eastAsia" w:asciiTheme="minorEastAsia" w:hAnsiTheme="minorEastAsia" w:eastAsiaTheme="minorEastAsia"/>
          <w:sz w:val="24"/>
        </w:rPr>
      </w:pPr>
      <w:r>
        <w:rPr>
          <w:rFonts w:hint="eastAsia" w:ascii="宋体" w:hAnsi="宋体"/>
          <w:sz w:val="24"/>
        </w:rPr>
        <w:t>苏州吴中投资控股有限公司</w:t>
      </w:r>
      <w:r>
        <w:rPr>
          <w:rFonts w:hint="eastAsia" w:asciiTheme="minorEastAsia" w:hAnsiTheme="minorEastAsia" w:eastAsiaTheme="minorEastAsia"/>
          <w:sz w:val="24"/>
        </w:rPr>
        <w:t>本次股份质押所融资金主要用于日常生产经营。其资信状况良好，具备相应的资金偿还能力，未来还款资金来源主要包括生产经营业务收益及其他收益等，质押风险在可控范围之内。</w:t>
      </w:r>
    </w:p>
    <w:p w14:paraId="7795B8AB">
      <w:pPr>
        <w:spacing w:line="360" w:lineRule="auto"/>
        <w:ind w:firstLine="480" w:firstLineChars="200"/>
        <w:rPr>
          <w:rFonts w:hint="eastAsia" w:asciiTheme="minorEastAsia" w:hAnsiTheme="minorEastAsia" w:eastAsiaTheme="minorEastAsia"/>
          <w:sz w:val="24"/>
        </w:rPr>
      </w:pPr>
      <w:r>
        <w:rPr>
          <w:rFonts w:hint="eastAsia" w:asciiTheme="minorEastAsia" w:hAnsiTheme="minorEastAsia" w:eastAsiaTheme="minorEastAsia"/>
          <w:sz w:val="24"/>
        </w:rPr>
        <w:t>2、控股股东资信情况</w:t>
      </w:r>
    </w:p>
    <w:p w14:paraId="2B61A4CA">
      <w:pPr>
        <w:spacing w:line="360" w:lineRule="auto"/>
        <w:ind w:firstLine="480" w:firstLineChars="200"/>
        <w:rPr>
          <w:rFonts w:hint="eastAsia" w:asciiTheme="minorEastAsia" w:hAnsiTheme="minorEastAsia" w:eastAsiaTheme="minorEastAsia"/>
          <w:sz w:val="24"/>
        </w:rPr>
      </w:pPr>
      <w:r>
        <w:rPr>
          <w:rFonts w:hint="eastAsia" w:asciiTheme="minorEastAsia" w:hAnsiTheme="minorEastAsia" w:eastAsiaTheme="minorEastAsia"/>
          <w:sz w:val="24"/>
        </w:rPr>
        <w:t>（1）控股股东基本情况</w:t>
      </w:r>
    </w:p>
    <w:tbl>
      <w:tblPr>
        <w:tblStyle w:val="7"/>
        <w:tblW w:w="870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34"/>
        <w:gridCol w:w="7275"/>
      </w:tblGrid>
      <w:tr w14:paraId="4CA32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4" w:type="dxa"/>
          </w:tcPr>
          <w:p w14:paraId="13EBDD8E">
            <w:pPr>
              <w:spacing w:line="360" w:lineRule="auto"/>
              <w:rPr>
                <w:rFonts w:hint="eastAsia" w:asciiTheme="minorEastAsia" w:hAnsiTheme="minorEastAsia" w:eastAsiaTheme="minorEastAsia"/>
                <w:sz w:val="24"/>
              </w:rPr>
            </w:pPr>
            <w:r>
              <w:rPr>
                <w:rFonts w:hint="eastAsia" w:asciiTheme="minorEastAsia" w:hAnsiTheme="minorEastAsia" w:eastAsiaTheme="minorEastAsia"/>
                <w:sz w:val="24"/>
              </w:rPr>
              <w:t>公司名称</w:t>
            </w:r>
          </w:p>
        </w:tc>
        <w:tc>
          <w:tcPr>
            <w:tcW w:w="7275" w:type="dxa"/>
          </w:tcPr>
          <w:p w14:paraId="243E1B32">
            <w:pPr>
              <w:spacing w:line="360" w:lineRule="auto"/>
              <w:rPr>
                <w:rFonts w:hint="eastAsia" w:asciiTheme="minorEastAsia" w:hAnsiTheme="minorEastAsia" w:eastAsiaTheme="minorEastAsia"/>
                <w:sz w:val="24"/>
              </w:rPr>
            </w:pPr>
            <w:r>
              <w:rPr>
                <w:rFonts w:hint="eastAsia" w:asciiTheme="minorEastAsia" w:hAnsiTheme="minorEastAsia" w:eastAsiaTheme="minorEastAsia"/>
                <w:sz w:val="24"/>
              </w:rPr>
              <w:t>苏州吴中投资控股有限公司</w:t>
            </w:r>
          </w:p>
        </w:tc>
      </w:tr>
      <w:tr w14:paraId="0E223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4" w:type="dxa"/>
          </w:tcPr>
          <w:p w14:paraId="32C17401">
            <w:pPr>
              <w:spacing w:line="360" w:lineRule="auto"/>
              <w:rPr>
                <w:rFonts w:hint="eastAsia" w:asciiTheme="minorEastAsia" w:hAnsiTheme="minorEastAsia" w:eastAsiaTheme="minorEastAsia"/>
                <w:sz w:val="24"/>
              </w:rPr>
            </w:pPr>
            <w:r>
              <w:rPr>
                <w:rFonts w:hint="eastAsia" w:asciiTheme="minorEastAsia" w:hAnsiTheme="minorEastAsia" w:eastAsiaTheme="minorEastAsia"/>
                <w:sz w:val="24"/>
              </w:rPr>
              <w:t>公司性质</w:t>
            </w:r>
          </w:p>
        </w:tc>
        <w:tc>
          <w:tcPr>
            <w:tcW w:w="7275" w:type="dxa"/>
          </w:tcPr>
          <w:p w14:paraId="3FD36B16">
            <w:pPr>
              <w:spacing w:line="360" w:lineRule="auto"/>
              <w:rPr>
                <w:rFonts w:hint="eastAsia" w:asciiTheme="minorEastAsia" w:hAnsiTheme="minorEastAsia" w:eastAsiaTheme="minorEastAsia"/>
                <w:sz w:val="24"/>
              </w:rPr>
            </w:pPr>
            <w:r>
              <w:rPr>
                <w:rFonts w:hint="eastAsia" w:asciiTheme="minorEastAsia" w:hAnsiTheme="minorEastAsia" w:eastAsiaTheme="minorEastAsia"/>
                <w:sz w:val="24"/>
              </w:rPr>
              <w:t>有限责任公司</w:t>
            </w:r>
          </w:p>
        </w:tc>
      </w:tr>
      <w:tr w14:paraId="77AA8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4" w:type="dxa"/>
          </w:tcPr>
          <w:p w14:paraId="140B64C2">
            <w:pPr>
              <w:spacing w:line="360" w:lineRule="auto"/>
              <w:rPr>
                <w:rFonts w:hint="eastAsia" w:asciiTheme="minorEastAsia" w:hAnsiTheme="minorEastAsia" w:eastAsiaTheme="minorEastAsia"/>
                <w:sz w:val="24"/>
              </w:rPr>
            </w:pPr>
            <w:r>
              <w:rPr>
                <w:rFonts w:hint="eastAsia" w:asciiTheme="minorEastAsia" w:hAnsiTheme="minorEastAsia" w:eastAsiaTheme="minorEastAsia"/>
                <w:sz w:val="24"/>
              </w:rPr>
              <w:t>法定代表人</w:t>
            </w:r>
          </w:p>
        </w:tc>
        <w:tc>
          <w:tcPr>
            <w:tcW w:w="7275" w:type="dxa"/>
          </w:tcPr>
          <w:p w14:paraId="40707896">
            <w:pPr>
              <w:spacing w:line="360" w:lineRule="auto"/>
              <w:rPr>
                <w:rFonts w:hint="eastAsia" w:asciiTheme="minorEastAsia" w:hAnsiTheme="minorEastAsia" w:eastAsiaTheme="minorEastAsia"/>
                <w:sz w:val="24"/>
              </w:rPr>
            </w:pPr>
            <w:r>
              <w:rPr>
                <w:rFonts w:hint="eastAsia" w:asciiTheme="minorEastAsia" w:hAnsiTheme="minorEastAsia" w:eastAsiaTheme="minorEastAsia"/>
                <w:sz w:val="24"/>
              </w:rPr>
              <w:t>钱群英</w:t>
            </w:r>
          </w:p>
        </w:tc>
      </w:tr>
      <w:tr w14:paraId="223C3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4" w:type="dxa"/>
          </w:tcPr>
          <w:p w14:paraId="11DBF814">
            <w:pPr>
              <w:spacing w:line="360" w:lineRule="auto"/>
              <w:rPr>
                <w:rFonts w:hint="eastAsia" w:asciiTheme="minorEastAsia" w:hAnsiTheme="minorEastAsia" w:eastAsiaTheme="minorEastAsia"/>
                <w:sz w:val="24"/>
              </w:rPr>
            </w:pPr>
            <w:r>
              <w:rPr>
                <w:rFonts w:hint="eastAsia" w:asciiTheme="minorEastAsia" w:hAnsiTheme="minorEastAsia" w:eastAsiaTheme="minorEastAsia"/>
                <w:sz w:val="24"/>
              </w:rPr>
              <w:t>注册资本</w:t>
            </w:r>
          </w:p>
        </w:tc>
        <w:tc>
          <w:tcPr>
            <w:tcW w:w="7275" w:type="dxa"/>
          </w:tcPr>
          <w:p w14:paraId="2E5360EE">
            <w:pPr>
              <w:spacing w:line="360" w:lineRule="auto"/>
              <w:rPr>
                <w:rFonts w:hint="eastAsia" w:asciiTheme="minorEastAsia" w:hAnsiTheme="minorEastAsia" w:eastAsiaTheme="minorEastAsia"/>
                <w:sz w:val="24"/>
              </w:rPr>
            </w:pPr>
            <w:r>
              <w:rPr>
                <w:rFonts w:hint="eastAsia" w:asciiTheme="minorEastAsia" w:hAnsiTheme="minorEastAsia" w:eastAsiaTheme="minorEastAsia"/>
                <w:sz w:val="24"/>
              </w:rPr>
              <w:t>3</w:t>
            </w:r>
            <w:r>
              <w:rPr>
                <w:rFonts w:asciiTheme="minorEastAsia" w:hAnsiTheme="minorEastAsia" w:eastAsiaTheme="minorEastAsia"/>
                <w:sz w:val="24"/>
              </w:rPr>
              <w:t>300</w:t>
            </w:r>
            <w:r>
              <w:rPr>
                <w:rFonts w:hint="eastAsia" w:asciiTheme="minorEastAsia" w:hAnsiTheme="minorEastAsia" w:eastAsiaTheme="minorEastAsia"/>
                <w:sz w:val="24"/>
              </w:rPr>
              <w:t>万元</w:t>
            </w:r>
          </w:p>
        </w:tc>
      </w:tr>
      <w:tr w14:paraId="7DB05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4" w:type="dxa"/>
          </w:tcPr>
          <w:p w14:paraId="53F2FCE3">
            <w:pPr>
              <w:spacing w:line="360" w:lineRule="auto"/>
              <w:rPr>
                <w:rFonts w:hint="eastAsia" w:asciiTheme="minorEastAsia" w:hAnsiTheme="minorEastAsia" w:eastAsiaTheme="minorEastAsia"/>
                <w:sz w:val="24"/>
              </w:rPr>
            </w:pPr>
            <w:r>
              <w:rPr>
                <w:rFonts w:hint="eastAsia" w:asciiTheme="minorEastAsia" w:hAnsiTheme="minorEastAsia" w:eastAsiaTheme="minorEastAsia"/>
                <w:sz w:val="24"/>
              </w:rPr>
              <w:t>注册时间</w:t>
            </w:r>
          </w:p>
        </w:tc>
        <w:tc>
          <w:tcPr>
            <w:tcW w:w="7275" w:type="dxa"/>
          </w:tcPr>
          <w:p w14:paraId="183DDEA9">
            <w:pPr>
              <w:spacing w:line="360" w:lineRule="auto"/>
              <w:rPr>
                <w:rFonts w:hint="eastAsia" w:asciiTheme="minorEastAsia" w:hAnsiTheme="minorEastAsia" w:eastAsiaTheme="minorEastAsia"/>
                <w:sz w:val="24"/>
              </w:rPr>
            </w:pPr>
            <w:r>
              <w:rPr>
                <w:rFonts w:hint="eastAsia" w:asciiTheme="minorEastAsia" w:hAnsiTheme="minorEastAsia" w:eastAsiaTheme="minorEastAsia"/>
                <w:sz w:val="24"/>
              </w:rPr>
              <w:t>2</w:t>
            </w:r>
            <w:r>
              <w:rPr>
                <w:rFonts w:asciiTheme="minorEastAsia" w:hAnsiTheme="minorEastAsia" w:eastAsiaTheme="minorEastAsia"/>
                <w:sz w:val="24"/>
              </w:rPr>
              <w:t>009</w:t>
            </w:r>
            <w:r>
              <w:rPr>
                <w:rFonts w:hint="eastAsia" w:asciiTheme="minorEastAsia" w:hAnsiTheme="minorEastAsia" w:eastAsiaTheme="minorEastAsia"/>
                <w:sz w:val="24"/>
              </w:rPr>
              <w:t>年1</w:t>
            </w:r>
            <w:r>
              <w:rPr>
                <w:rFonts w:asciiTheme="minorEastAsia" w:hAnsiTheme="minorEastAsia" w:eastAsiaTheme="minorEastAsia"/>
                <w:sz w:val="24"/>
              </w:rPr>
              <w:t>2</w:t>
            </w:r>
            <w:r>
              <w:rPr>
                <w:rFonts w:hint="eastAsia" w:asciiTheme="minorEastAsia" w:hAnsiTheme="minorEastAsia" w:eastAsiaTheme="minorEastAsia"/>
                <w:sz w:val="24"/>
              </w:rPr>
              <w:t>月1</w:t>
            </w:r>
            <w:r>
              <w:rPr>
                <w:rFonts w:asciiTheme="minorEastAsia" w:hAnsiTheme="minorEastAsia" w:eastAsiaTheme="minorEastAsia"/>
                <w:sz w:val="24"/>
              </w:rPr>
              <w:t>7</w:t>
            </w:r>
            <w:r>
              <w:rPr>
                <w:rFonts w:hint="eastAsia" w:asciiTheme="minorEastAsia" w:hAnsiTheme="minorEastAsia" w:eastAsiaTheme="minorEastAsia"/>
                <w:sz w:val="24"/>
              </w:rPr>
              <w:t>日</w:t>
            </w:r>
          </w:p>
        </w:tc>
      </w:tr>
      <w:tr w14:paraId="209D0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4" w:type="dxa"/>
          </w:tcPr>
          <w:p w14:paraId="1C41EBE3">
            <w:pPr>
              <w:spacing w:line="360" w:lineRule="auto"/>
              <w:rPr>
                <w:rFonts w:hint="eastAsia" w:asciiTheme="minorEastAsia" w:hAnsiTheme="minorEastAsia" w:eastAsiaTheme="minorEastAsia"/>
                <w:sz w:val="24"/>
              </w:rPr>
            </w:pPr>
            <w:r>
              <w:rPr>
                <w:rFonts w:hint="eastAsia" w:asciiTheme="minorEastAsia" w:hAnsiTheme="minorEastAsia" w:eastAsiaTheme="minorEastAsia"/>
                <w:sz w:val="24"/>
              </w:rPr>
              <w:t>注册地址</w:t>
            </w:r>
          </w:p>
        </w:tc>
        <w:tc>
          <w:tcPr>
            <w:tcW w:w="7275" w:type="dxa"/>
          </w:tcPr>
          <w:p w14:paraId="63AA01F9">
            <w:pPr>
              <w:spacing w:line="360" w:lineRule="auto"/>
              <w:rPr>
                <w:rFonts w:hint="eastAsia" w:asciiTheme="minorEastAsia" w:hAnsiTheme="minorEastAsia" w:eastAsiaTheme="minorEastAsia"/>
                <w:sz w:val="24"/>
              </w:rPr>
            </w:pPr>
            <w:r>
              <w:rPr>
                <w:rFonts w:hint="eastAsia" w:asciiTheme="minorEastAsia" w:hAnsiTheme="minorEastAsia" w:eastAsiaTheme="minorEastAsia"/>
                <w:sz w:val="24"/>
              </w:rPr>
              <w:t>苏州吴中经济开发区郭巷街道东方大道9</w:t>
            </w:r>
            <w:r>
              <w:rPr>
                <w:rFonts w:asciiTheme="minorEastAsia" w:hAnsiTheme="minorEastAsia" w:eastAsiaTheme="minorEastAsia"/>
                <w:sz w:val="24"/>
              </w:rPr>
              <w:t>88</w:t>
            </w:r>
            <w:r>
              <w:rPr>
                <w:rFonts w:hint="eastAsia" w:asciiTheme="minorEastAsia" w:hAnsiTheme="minorEastAsia" w:eastAsiaTheme="minorEastAsia"/>
                <w:sz w:val="24"/>
              </w:rPr>
              <w:t>号1幢</w:t>
            </w:r>
          </w:p>
        </w:tc>
      </w:tr>
      <w:tr w14:paraId="61A17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4" w:type="dxa"/>
          </w:tcPr>
          <w:p w14:paraId="30925FCF">
            <w:pPr>
              <w:spacing w:line="360" w:lineRule="auto"/>
              <w:rPr>
                <w:rFonts w:hint="eastAsia" w:asciiTheme="minorEastAsia" w:hAnsiTheme="minorEastAsia" w:eastAsiaTheme="minorEastAsia"/>
                <w:sz w:val="24"/>
                <w:highlight w:val="none"/>
              </w:rPr>
            </w:pPr>
            <w:r>
              <w:rPr>
                <w:rFonts w:hint="eastAsia" w:asciiTheme="minorEastAsia" w:hAnsiTheme="minorEastAsia" w:eastAsiaTheme="minorEastAsia"/>
                <w:sz w:val="24"/>
                <w:highlight w:val="none"/>
              </w:rPr>
              <w:t>主营业务</w:t>
            </w:r>
          </w:p>
        </w:tc>
        <w:tc>
          <w:tcPr>
            <w:tcW w:w="7275" w:type="dxa"/>
          </w:tcPr>
          <w:p w14:paraId="3221879C">
            <w:pPr>
              <w:spacing w:line="360" w:lineRule="auto"/>
              <w:rPr>
                <w:rFonts w:hint="eastAsia" w:asciiTheme="minorEastAsia" w:hAnsiTheme="minorEastAsia" w:eastAsiaTheme="minorEastAsia"/>
                <w:sz w:val="24"/>
                <w:highlight w:val="none"/>
              </w:rPr>
            </w:pPr>
            <w:r>
              <w:rPr>
                <w:rFonts w:hint="eastAsia" w:asciiTheme="minorEastAsia" w:hAnsiTheme="minorEastAsia" w:eastAsiaTheme="minorEastAsia"/>
                <w:sz w:val="24"/>
                <w:highlight w:val="none"/>
              </w:rPr>
              <w:t>一般项目:股权投资；日用百货销售；服装服饰零售；针纺织品及原料销售；珠宝首饰零售；珠宝首饰批发；电子产品销售；建筑材料销售；五金产品零售；机械设备销售；金属制品销售；塑料制品销售；劳动保护用品销售；办公用品销售；玩具销售；工艺美术品及收藏品零售 (象牙及其制品除外)；皮革制品销售；钟表销售；眼镜销售 (不含隐形眼镜)；照相机及器材销售；体育用品及器材零售；家用电器销售:通讯设备销售，照明器具销售，日用木制品销售，家具销售；宠物食品及用品零售；食用农产品零售；厨具卫具及日用杂品零售；计算机软硬件及辅助设备零售；进出口代理；技术进出口(除依法须经批准的项目外，凭营业执照依法自主开展经营活动)</w:t>
            </w:r>
          </w:p>
        </w:tc>
      </w:tr>
    </w:tbl>
    <w:p w14:paraId="0B412D18">
      <w:pPr>
        <w:spacing w:line="360" w:lineRule="auto"/>
        <w:ind w:firstLine="480" w:firstLineChars="200"/>
        <w:rPr>
          <w:rFonts w:hint="eastAsia" w:asciiTheme="minorEastAsia" w:hAnsiTheme="minorEastAsia" w:eastAsiaTheme="minorEastAsia"/>
          <w:sz w:val="24"/>
          <w:highlight w:val="none"/>
        </w:rPr>
      </w:pPr>
      <w:r>
        <w:rPr>
          <w:rFonts w:hint="eastAsia" w:asciiTheme="minorEastAsia" w:hAnsiTheme="minorEastAsia" w:eastAsiaTheme="minorEastAsia"/>
          <w:sz w:val="24"/>
          <w:highlight w:val="none"/>
        </w:rPr>
        <w:t>（2）控股股东最近一年及一期的主要财务数据情况</w:t>
      </w:r>
    </w:p>
    <w:p w14:paraId="29819479">
      <w:pPr>
        <w:spacing w:line="360" w:lineRule="auto"/>
        <w:jc w:val="right"/>
        <w:rPr>
          <w:rFonts w:hint="eastAsia" w:asciiTheme="minorEastAsia" w:hAnsiTheme="minorEastAsia" w:eastAsiaTheme="minorEastAsia"/>
          <w:sz w:val="24"/>
          <w:highlight w:val="none"/>
        </w:rPr>
      </w:pPr>
      <w:r>
        <w:rPr>
          <w:rFonts w:ascii="宋体" w:hAnsi="宋体" w:cs="宋体"/>
          <w:sz w:val="24"/>
          <w:highlight w:val="none"/>
        </w:rPr>
        <w:t>单位：万元</w:t>
      </w:r>
    </w:p>
    <w:tbl>
      <w:tblPr>
        <w:tblStyle w:val="7"/>
        <w:tblW w:w="0" w:type="auto"/>
        <w:tblInd w:w="-13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90"/>
        <w:gridCol w:w="2428"/>
        <w:gridCol w:w="2841"/>
      </w:tblGrid>
      <w:tr w14:paraId="47808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0" w:type="dxa"/>
            <w:vAlign w:val="center"/>
          </w:tcPr>
          <w:p w14:paraId="7519678A">
            <w:pPr>
              <w:spacing w:line="360" w:lineRule="auto"/>
              <w:jc w:val="center"/>
              <w:rPr>
                <w:rFonts w:hint="eastAsia" w:asciiTheme="minorEastAsia" w:hAnsiTheme="minorEastAsia" w:eastAsiaTheme="minorEastAsia"/>
                <w:b/>
                <w:bCs/>
                <w:sz w:val="24"/>
                <w:highlight w:val="none"/>
              </w:rPr>
            </w:pPr>
            <w:r>
              <w:rPr>
                <w:rFonts w:ascii="宋体" w:hAnsi="宋体" w:cs="宋体"/>
                <w:b/>
                <w:bCs/>
                <w:sz w:val="24"/>
                <w:highlight w:val="none"/>
              </w:rPr>
              <w:t>项目</w:t>
            </w:r>
          </w:p>
        </w:tc>
        <w:tc>
          <w:tcPr>
            <w:tcW w:w="2428" w:type="dxa"/>
          </w:tcPr>
          <w:p w14:paraId="0298F85C">
            <w:pPr>
              <w:spacing w:line="360" w:lineRule="auto"/>
              <w:jc w:val="center"/>
              <w:rPr>
                <w:rFonts w:hint="eastAsia" w:asciiTheme="minorEastAsia" w:hAnsiTheme="minorEastAsia" w:eastAsiaTheme="minorEastAsia"/>
                <w:b/>
                <w:bCs/>
                <w:sz w:val="24"/>
                <w:highlight w:val="none"/>
              </w:rPr>
            </w:pPr>
            <w:r>
              <w:rPr>
                <w:rFonts w:hint="eastAsia" w:asciiTheme="minorEastAsia" w:hAnsiTheme="minorEastAsia" w:eastAsiaTheme="minorEastAsia"/>
                <w:b/>
                <w:bCs/>
                <w:sz w:val="24"/>
                <w:highlight w:val="none"/>
              </w:rPr>
              <w:t>2</w:t>
            </w:r>
            <w:r>
              <w:rPr>
                <w:rFonts w:asciiTheme="minorEastAsia" w:hAnsiTheme="minorEastAsia" w:eastAsiaTheme="minorEastAsia"/>
                <w:b/>
                <w:bCs/>
                <w:sz w:val="24"/>
                <w:highlight w:val="none"/>
              </w:rPr>
              <w:t>02</w:t>
            </w:r>
            <w:r>
              <w:rPr>
                <w:rFonts w:hint="eastAsia" w:asciiTheme="minorEastAsia" w:hAnsiTheme="minorEastAsia" w:eastAsiaTheme="minorEastAsia"/>
                <w:b/>
                <w:bCs/>
                <w:sz w:val="24"/>
                <w:highlight w:val="none"/>
              </w:rPr>
              <w:t>3年1</w:t>
            </w:r>
            <w:r>
              <w:rPr>
                <w:rFonts w:asciiTheme="minorEastAsia" w:hAnsiTheme="minorEastAsia" w:eastAsiaTheme="minorEastAsia"/>
                <w:b/>
                <w:bCs/>
                <w:sz w:val="24"/>
                <w:highlight w:val="none"/>
              </w:rPr>
              <w:t>2</w:t>
            </w:r>
            <w:r>
              <w:rPr>
                <w:rFonts w:hint="eastAsia" w:asciiTheme="minorEastAsia" w:hAnsiTheme="minorEastAsia" w:eastAsiaTheme="minorEastAsia"/>
                <w:b/>
                <w:bCs/>
                <w:sz w:val="24"/>
                <w:highlight w:val="none"/>
              </w:rPr>
              <w:t>月3</w:t>
            </w:r>
            <w:r>
              <w:rPr>
                <w:rFonts w:asciiTheme="minorEastAsia" w:hAnsiTheme="minorEastAsia" w:eastAsiaTheme="minorEastAsia"/>
                <w:b/>
                <w:bCs/>
                <w:sz w:val="24"/>
                <w:highlight w:val="none"/>
              </w:rPr>
              <w:t>1</w:t>
            </w:r>
            <w:r>
              <w:rPr>
                <w:rFonts w:hint="eastAsia" w:asciiTheme="minorEastAsia" w:hAnsiTheme="minorEastAsia" w:eastAsiaTheme="minorEastAsia"/>
                <w:b/>
                <w:bCs/>
                <w:sz w:val="24"/>
                <w:highlight w:val="none"/>
              </w:rPr>
              <w:t>日</w:t>
            </w:r>
          </w:p>
        </w:tc>
        <w:tc>
          <w:tcPr>
            <w:tcW w:w="2841" w:type="dxa"/>
          </w:tcPr>
          <w:p w14:paraId="57E1B2C8">
            <w:pPr>
              <w:spacing w:line="360" w:lineRule="auto"/>
              <w:jc w:val="center"/>
              <w:rPr>
                <w:rFonts w:hint="eastAsia" w:asciiTheme="minorEastAsia" w:hAnsiTheme="minorEastAsia" w:eastAsiaTheme="minorEastAsia"/>
                <w:b/>
                <w:bCs/>
                <w:sz w:val="24"/>
                <w:highlight w:val="none"/>
              </w:rPr>
            </w:pPr>
            <w:r>
              <w:rPr>
                <w:rFonts w:hint="eastAsia" w:asciiTheme="minorEastAsia" w:hAnsiTheme="minorEastAsia" w:eastAsiaTheme="minorEastAsia"/>
                <w:b/>
                <w:bCs/>
                <w:sz w:val="24"/>
                <w:highlight w:val="none"/>
              </w:rPr>
              <w:t>2</w:t>
            </w:r>
            <w:r>
              <w:rPr>
                <w:rFonts w:asciiTheme="minorEastAsia" w:hAnsiTheme="minorEastAsia" w:eastAsiaTheme="minorEastAsia"/>
                <w:b/>
                <w:bCs/>
                <w:sz w:val="24"/>
                <w:highlight w:val="none"/>
              </w:rPr>
              <w:t>02</w:t>
            </w:r>
            <w:r>
              <w:rPr>
                <w:rFonts w:hint="eastAsia" w:asciiTheme="minorEastAsia" w:hAnsiTheme="minorEastAsia" w:eastAsiaTheme="minorEastAsia"/>
                <w:b/>
                <w:bCs/>
                <w:sz w:val="24"/>
                <w:highlight w:val="none"/>
              </w:rPr>
              <w:t>4年9月3</w:t>
            </w:r>
            <w:r>
              <w:rPr>
                <w:rFonts w:asciiTheme="minorEastAsia" w:hAnsiTheme="minorEastAsia" w:eastAsiaTheme="minorEastAsia"/>
                <w:b/>
                <w:bCs/>
                <w:sz w:val="24"/>
                <w:highlight w:val="none"/>
              </w:rPr>
              <w:t>0</w:t>
            </w:r>
            <w:r>
              <w:rPr>
                <w:rFonts w:hint="eastAsia" w:asciiTheme="minorEastAsia" w:hAnsiTheme="minorEastAsia" w:eastAsiaTheme="minorEastAsia"/>
                <w:b/>
                <w:bCs/>
                <w:sz w:val="24"/>
                <w:highlight w:val="none"/>
              </w:rPr>
              <w:t>日</w:t>
            </w:r>
          </w:p>
        </w:tc>
      </w:tr>
      <w:tr w14:paraId="58DCF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0" w:type="dxa"/>
            <w:vAlign w:val="center"/>
          </w:tcPr>
          <w:p w14:paraId="11C4CF5D">
            <w:pPr>
              <w:spacing w:line="360" w:lineRule="auto"/>
              <w:jc w:val="center"/>
              <w:rPr>
                <w:rFonts w:hint="eastAsia" w:asciiTheme="minorEastAsia" w:hAnsiTheme="minorEastAsia" w:eastAsiaTheme="minorEastAsia"/>
                <w:sz w:val="24"/>
                <w:highlight w:val="none"/>
              </w:rPr>
            </w:pPr>
            <w:r>
              <w:rPr>
                <w:rFonts w:ascii="宋体" w:hAnsi="宋体" w:cs="宋体"/>
                <w:sz w:val="24"/>
                <w:highlight w:val="none"/>
              </w:rPr>
              <w:t>资产总额</w:t>
            </w:r>
          </w:p>
        </w:tc>
        <w:tc>
          <w:tcPr>
            <w:tcW w:w="2428" w:type="dxa"/>
            <w:vAlign w:val="center"/>
          </w:tcPr>
          <w:p w14:paraId="4D2CFB12">
            <w:pPr>
              <w:spacing w:line="360" w:lineRule="auto"/>
              <w:jc w:val="right"/>
              <w:rPr>
                <w:rFonts w:hint="eastAsia" w:asciiTheme="minorEastAsia" w:hAnsiTheme="minorEastAsia" w:eastAsiaTheme="minorEastAsia"/>
                <w:sz w:val="24"/>
                <w:highlight w:val="none"/>
              </w:rPr>
            </w:pPr>
            <w:r>
              <w:rPr>
                <w:rFonts w:hint="eastAsia" w:asciiTheme="minorEastAsia" w:hAnsiTheme="minorEastAsia" w:eastAsiaTheme="minorEastAsia"/>
                <w:sz w:val="24"/>
                <w:highlight w:val="none"/>
              </w:rPr>
              <w:t>538,548.65</w:t>
            </w:r>
          </w:p>
        </w:tc>
        <w:tc>
          <w:tcPr>
            <w:tcW w:w="2841" w:type="dxa"/>
            <w:vAlign w:val="center"/>
          </w:tcPr>
          <w:p w14:paraId="6DEC71D9">
            <w:pPr>
              <w:spacing w:line="360" w:lineRule="auto"/>
              <w:jc w:val="right"/>
              <w:rPr>
                <w:rFonts w:hint="eastAsia" w:asciiTheme="minorEastAsia" w:hAnsiTheme="minorEastAsia" w:eastAsiaTheme="minorEastAsia"/>
                <w:sz w:val="24"/>
                <w:highlight w:val="none"/>
                <w:lang w:val="en-US" w:eastAsia="zh-CN"/>
              </w:rPr>
            </w:pPr>
            <w:r>
              <w:rPr>
                <w:rFonts w:hint="eastAsia" w:asciiTheme="minorEastAsia" w:hAnsiTheme="minorEastAsia" w:eastAsiaTheme="minorEastAsia"/>
                <w:sz w:val="24"/>
                <w:highlight w:val="none"/>
              </w:rPr>
              <w:t>5</w:t>
            </w:r>
            <w:r>
              <w:rPr>
                <w:rFonts w:hint="eastAsia" w:asciiTheme="minorEastAsia" w:hAnsiTheme="minorEastAsia" w:eastAsiaTheme="minorEastAsia"/>
                <w:sz w:val="24"/>
                <w:highlight w:val="none"/>
                <w:lang w:val="en-US" w:eastAsia="zh-CN"/>
              </w:rPr>
              <w:t>15</w:t>
            </w:r>
            <w:r>
              <w:rPr>
                <w:rFonts w:hint="eastAsia" w:asciiTheme="minorEastAsia" w:hAnsiTheme="minorEastAsia" w:eastAsiaTheme="minorEastAsia"/>
                <w:sz w:val="24"/>
                <w:highlight w:val="none"/>
              </w:rPr>
              <w:t>,</w:t>
            </w:r>
            <w:r>
              <w:rPr>
                <w:rFonts w:hint="eastAsia" w:asciiTheme="minorEastAsia" w:hAnsiTheme="minorEastAsia" w:eastAsiaTheme="minorEastAsia"/>
                <w:sz w:val="24"/>
                <w:highlight w:val="none"/>
                <w:lang w:val="en-US" w:eastAsia="zh-CN"/>
              </w:rPr>
              <w:t>315</w:t>
            </w:r>
            <w:r>
              <w:rPr>
                <w:rFonts w:hint="eastAsia" w:asciiTheme="minorEastAsia" w:hAnsiTheme="minorEastAsia" w:eastAsiaTheme="minorEastAsia"/>
                <w:sz w:val="24"/>
                <w:highlight w:val="none"/>
              </w:rPr>
              <w:t>.3</w:t>
            </w:r>
            <w:r>
              <w:rPr>
                <w:rFonts w:hint="eastAsia" w:asciiTheme="minorEastAsia" w:hAnsiTheme="minorEastAsia" w:eastAsiaTheme="minorEastAsia"/>
                <w:sz w:val="24"/>
                <w:highlight w:val="none"/>
                <w:lang w:val="en-US" w:eastAsia="zh-CN"/>
              </w:rPr>
              <w:t>6</w:t>
            </w:r>
          </w:p>
        </w:tc>
      </w:tr>
      <w:tr w14:paraId="61367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0" w:type="dxa"/>
            <w:vAlign w:val="center"/>
          </w:tcPr>
          <w:p w14:paraId="4A36C4AF">
            <w:pPr>
              <w:spacing w:line="360" w:lineRule="auto"/>
              <w:jc w:val="center"/>
              <w:rPr>
                <w:rFonts w:hint="eastAsia" w:asciiTheme="minorEastAsia" w:hAnsiTheme="minorEastAsia" w:eastAsiaTheme="minorEastAsia"/>
                <w:sz w:val="24"/>
                <w:highlight w:val="none"/>
              </w:rPr>
            </w:pPr>
            <w:r>
              <w:rPr>
                <w:rFonts w:ascii="宋体" w:hAnsi="宋体" w:cs="宋体"/>
                <w:sz w:val="24"/>
                <w:highlight w:val="none"/>
              </w:rPr>
              <w:t>负债总额</w:t>
            </w:r>
          </w:p>
        </w:tc>
        <w:tc>
          <w:tcPr>
            <w:tcW w:w="2428" w:type="dxa"/>
            <w:vAlign w:val="center"/>
          </w:tcPr>
          <w:p w14:paraId="008931EC">
            <w:pPr>
              <w:spacing w:line="360" w:lineRule="auto"/>
              <w:jc w:val="right"/>
              <w:rPr>
                <w:rFonts w:hint="eastAsia" w:asciiTheme="minorEastAsia" w:hAnsiTheme="minorEastAsia" w:eastAsiaTheme="minorEastAsia"/>
                <w:sz w:val="24"/>
                <w:highlight w:val="none"/>
              </w:rPr>
            </w:pPr>
            <w:r>
              <w:rPr>
                <w:rFonts w:hint="eastAsia" w:asciiTheme="minorEastAsia" w:hAnsiTheme="minorEastAsia" w:eastAsiaTheme="minorEastAsia"/>
                <w:sz w:val="24"/>
                <w:highlight w:val="none"/>
              </w:rPr>
              <w:t>355,683.59</w:t>
            </w:r>
          </w:p>
        </w:tc>
        <w:tc>
          <w:tcPr>
            <w:tcW w:w="2841" w:type="dxa"/>
            <w:vAlign w:val="center"/>
          </w:tcPr>
          <w:p w14:paraId="09C57DAA">
            <w:pPr>
              <w:spacing w:line="360" w:lineRule="auto"/>
              <w:jc w:val="right"/>
              <w:rPr>
                <w:rFonts w:hint="default" w:asciiTheme="minorEastAsia" w:hAnsiTheme="minorEastAsia" w:eastAsiaTheme="minorEastAsia"/>
                <w:sz w:val="24"/>
                <w:highlight w:val="none"/>
                <w:lang w:val="en-US" w:eastAsia="zh-CN"/>
              </w:rPr>
            </w:pPr>
            <w:r>
              <w:rPr>
                <w:rFonts w:hint="eastAsia" w:asciiTheme="minorEastAsia" w:hAnsiTheme="minorEastAsia" w:eastAsiaTheme="minorEastAsia"/>
                <w:sz w:val="24"/>
                <w:highlight w:val="none"/>
              </w:rPr>
              <w:t>3</w:t>
            </w:r>
            <w:r>
              <w:rPr>
                <w:rFonts w:hint="eastAsia" w:asciiTheme="minorEastAsia" w:hAnsiTheme="minorEastAsia" w:eastAsiaTheme="minorEastAsia"/>
                <w:sz w:val="24"/>
                <w:highlight w:val="none"/>
                <w:lang w:val="en-US" w:eastAsia="zh-CN"/>
              </w:rPr>
              <w:t>23</w:t>
            </w:r>
            <w:r>
              <w:rPr>
                <w:rFonts w:hint="eastAsia" w:asciiTheme="minorEastAsia" w:hAnsiTheme="minorEastAsia" w:eastAsiaTheme="minorEastAsia"/>
                <w:sz w:val="24"/>
                <w:highlight w:val="none"/>
              </w:rPr>
              <w:t>,</w:t>
            </w:r>
            <w:r>
              <w:rPr>
                <w:rFonts w:hint="eastAsia" w:asciiTheme="minorEastAsia" w:hAnsiTheme="minorEastAsia" w:eastAsiaTheme="minorEastAsia"/>
                <w:sz w:val="24"/>
                <w:highlight w:val="none"/>
                <w:lang w:val="en-US" w:eastAsia="zh-CN"/>
              </w:rPr>
              <w:t>952</w:t>
            </w:r>
            <w:r>
              <w:rPr>
                <w:rFonts w:hint="eastAsia" w:asciiTheme="minorEastAsia" w:hAnsiTheme="minorEastAsia" w:eastAsiaTheme="minorEastAsia"/>
                <w:sz w:val="24"/>
                <w:highlight w:val="none"/>
              </w:rPr>
              <w:t>.</w:t>
            </w:r>
            <w:r>
              <w:rPr>
                <w:rFonts w:hint="eastAsia" w:asciiTheme="minorEastAsia" w:hAnsiTheme="minorEastAsia" w:eastAsiaTheme="minorEastAsia"/>
                <w:sz w:val="24"/>
                <w:highlight w:val="none"/>
                <w:lang w:val="en-US" w:eastAsia="zh-CN"/>
              </w:rPr>
              <w:t>39</w:t>
            </w:r>
          </w:p>
        </w:tc>
      </w:tr>
      <w:tr w14:paraId="3351B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0" w:type="dxa"/>
            <w:vAlign w:val="center"/>
          </w:tcPr>
          <w:p w14:paraId="43C9FC54">
            <w:pPr>
              <w:spacing w:line="360" w:lineRule="auto"/>
              <w:jc w:val="center"/>
              <w:rPr>
                <w:rFonts w:hint="eastAsia" w:asciiTheme="minorEastAsia" w:hAnsiTheme="minorEastAsia" w:eastAsiaTheme="minorEastAsia"/>
                <w:sz w:val="24"/>
                <w:highlight w:val="none"/>
              </w:rPr>
            </w:pPr>
            <w:r>
              <w:rPr>
                <w:rFonts w:ascii="宋体" w:hAnsi="宋体" w:cs="宋体"/>
                <w:sz w:val="24"/>
                <w:highlight w:val="none"/>
              </w:rPr>
              <w:t>银行贷款总额</w:t>
            </w:r>
          </w:p>
        </w:tc>
        <w:tc>
          <w:tcPr>
            <w:tcW w:w="2428" w:type="dxa"/>
            <w:vAlign w:val="center"/>
          </w:tcPr>
          <w:p w14:paraId="225D892F">
            <w:pPr>
              <w:spacing w:line="360" w:lineRule="auto"/>
              <w:jc w:val="right"/>
              <w:rPr>
                <w:rFonts w:hint="eastAsia" w:asciiTheme="minorEastAsia" w:hAnsiTheme="minorEastAsia" w:eastAsiaTheme="minorEastAsia"/>
                <w:sz w:val="24"/>
                <w:highlight w:val="none"/>
              </w:rPr>
            </w:pPr>
            <w:r>
              <w:rPr>
                <w:rFonts w:hint="eastAsia" w:asciiTheme="minorEastAsia" w:hAnsiTheme="minorEastAsia" w:eastAsiaTheme="minorEastAsia"/>
                <w:sz w:val="24"/>
                <w:highlight w:val="none"/>
              </w:rPr>
              <w:t>199,527.77</w:t>
            </w:r>
          </w:p>
        </w:tc>
        <w:tc>
          <w:tcPr>
            <w:tcW w:w="2841" w:type="dxa"/>
            <w:vAlign w:val="center"/>
          </w:tcPr>
          <w:p w14:paraId="71C3FDE3">
            <w:pPr>
              <w:spacing w:line="360" w:lineRule="auto"/>
              <w:jc w:val="right"/>
              <w:rPr>
                <w:rFonts w:hint="default" w:asciiTheme="minorEastAsia" w:hAnsiTheme="minorEastAsia" w:eastAsiaTheme="minorEastAsia"/>
                <w:sz w:val="24"/>
                <w:highlight w:val="none"/>
                <w:lang w:val="en-US" w:eastAsia="zh-CN"/>
              </w:rPr>
            </w:pPr>
            <w:r>
              <w:rPr>
                <w:rFonts w:hint="eastAsia" w:asciiTheme="minorEastAsia" w:hAnsiTheme="minorEastAsia" w:eastAsiaTheme="minorEastAsia"/>
                <w:sz w:val="24"/>
                <w:highlight w:val="none"/>
                <w:lang w:val="en-US" w:eastAsia="zh-CN"/>
              </w:rPr>
              <w:t>195</w:t>
            </w:r>
            <w:r>
              <w:rPr>
                <w:rFonts w:hint="eastAsia" w:asciiTheme="minorEastAsia" w:hAnsiTheme="minorEastAsia" w:eastAsiaTheme="minorEastAsia"/>
                <w:sz w:val="24"/>
                <w:highlight w:val="none"/>
              </w:rPr>
              <w:t>,</w:t>
            </w:r>
            <w:r>
              <w:rPr>
                <w:rFonts w:hint="eastAsia" w:asciiTheme="minorEastAsia" w:hAnsiTheme="minorEastAsia" w:eastAsiaTheme="minorEastAsia"/>
                <w:sz w:val="24"/>
                <w:highlight w:val="none"/>
                <w:lang w:val="en-US" w:eastAsia="zh-CN"/>
              </w:rPr>
              <w:t>187</w:t>
            </w:r>
            <w:r>
              <w:rPr>
                <w:rFonts w:hint="eastAsia" w:asciiTheme="minorEastAsia" w:hAnsiTheme="minorEastAsia" w:eastAsiaTheme="minorEastAsia"/>
                <w:sz w:val="24"/>
                <w:highlight w:val="none"/>
              </w:rPr>
              <w:t>.</w:t>
            </w:r>
            <w:r>
              <w:rPr>
                <w:rFonts w:hint="eastAsia" w:asciiTheme="minorEastAsia" w:hAnsiTheme="minorEastAsia" w:eastAsiaTheme="minorEastAsia"/>
                <w:sz w:val="24"/>
                <w:highlight w:val="none"/>
                <w:lang w:val="en-US" w:eastAsia="zh-CN"/>
              </w:rPr>
              <w:t>77</w:t>
            </w:r>
          </w:p>
        </w:tc>
      </w:tr>
      <w:tr w14:paraId="47E1E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0" w:type="dxa"/>
            <w:vAlign w:val="center"/>
          </w:tcPr>
          <w:p w14:paraId="06E3E08C">
            <w:pPr>
              <w:spacing w:line="360" w:lineRule="auto"/>
              <w:jc w:val="center"/>
              <w:rPr>
                <w:rFonts w:hint="eastAsia" w:asciiTheme="minorEastAsia" w:hAnsiTheme="minorEastAsia" w:eastAsiaTheme="minorEastAsia"/>
                <w:sz w:val="24"/>
                <w:highlight w:val="none"/>
              </w:rPr>
            </w:pPr>
            <w:r>
              <w:rPr>
                <w:rFonts w:ascii="宋体" w:hAnsi="宋体" w:cs="宋体"/>
                <w:sz w:val="24"/>
                <w:highlight w:val="none"/>
              </w:rPr>
              <w:t>流动负债总额</w:t>
            </w:r>
          </w:p>
        </w:tc>
        <w:tc>
          <w:tcPr>
            <w:tcW w:w="2428" w:type="dxa"/>
            <w:shd w:val="clear" w:color="auto" w:fill="auto"/>
            <w:vAlign w:val="center"/>
          </w:tcPr>
          <w:p w14:paraId="4EC41EF1">
            <w:pPr>
              <w:widowControl/>
              <w:jc w:val="right"/>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335,588.41</w:t>
            </w:r>
          </w:p>
        </w:tc>
        <w:tc>
          <w:tcPr>
            <w:tcW w:w="2841" w:type="dxa"/>
            <w:shd w:val="clear" w:color="auto" w:fill="auto"/>
            <w:vAlign w:val="center"/>
          </w:tcPr>
          <w:p w14:paraId="77F236DB">
            <w:pPr>
              <w:widowControl/>
              <w:jc w:val="right"/>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val="en-US" w:eastAsia="zh-CN" w:bidi="ar"/>
              </w:rPr>
              <w:t>291</w:t>
            </w:r>
            <w:r>
              <w:rPr>
                <w:rFonts w:hint="eastAsia" w:ascii="宋体" w:hAnsi="宋体" w:cs="宋体"/>
                <w:color w:val="000000"/>
                <w:kern w:val="0"/>
                <w:sz w:val="24"/>
                <w:highlight w:val="none"/>
                <w:lang w:bidi="ar"/>
              </w:rPr>
              <w:t>,</w:t>
            </w:r>
            <w:r>
              <w:rPr>
                <w:rFonts w:hint="eastAsia" w:ascii="宋体" w:hAnsi="宋体" w:cs="宋体"/>
                <w:color w:val="000000"/>
                <w:kern w:val="0"/>
                <w:sz w:val="24"/>
                <w:highlight w:val="none"/>
                <w:lang w:val="en-US" w:eastAsia="zh-CN" w:bidi="ar"/>
              </w:rPr>
              <w:t>205</w:t>
            </w:r>
            <w:r>
              <w:rPr>
                <w:rFonts w:hint="eastAsia" w:ascii="宋体" w:hAnsi="宋体" w:cs="宋体"/>
                <w:color w:val="000000"/>
                <w:kern w:val="0"/>
                <w:sz w:val="24"/>
                <w:highlight w:val="none"/>
                <w:lang w:bidi="ar"/>
              </w:rPr>
              <w:t>.</w:t>
            </w:r>
            <w:r>
              <w:rPr>
                <w:rFonts w:hint="eastAsia" w:ascii="宋体" w:hAnsi="宋体" w:cs="宋体"/>
                <w:color w:val="000000"/>
                <w:kern w:val="0"/>
                <w:sz w:val="24"/>
                <w:highlight w:val="none"/>
                <w:lang w:val="en-US" w:eastAsia="zh-CN" w:bidi="ar"/>
              </w:rPr>
              <w:t>0</w:t>
            </w:r>
            <w:r>
              <w:rPr>
                <w:rFonts w:hint="eastAsia" w:ascii="宋体" w:hAnsi="宋体" w:cs="宋体"/>
                <w:color w:val="000000"/>
                <w:kern w:val="0"/>
                <w:sz w:val="24"/>
                <w:highlight w:val="none"/>
                <w:lang w:bidi="ar"/>
              </w:rPr>
              <w:t>5</w:t>
            </w:r>
          </w:p>
        </w:tc>
      </w:tr>
      <w:tr w14:paraId="03549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0" w:type="dxa"/>
            <w:vAlign w:val="center"/>
          </w:tcPr>
          <w:p w14:paraId="3141A346">
            <w:pPr>
              <w:spacing w:line="360" w:lineRule="auto"/>
              <w:jc w:val="center"/>
              <w:rPr>
                <w:rFonts w:hint="eastAsia" w:asciiTheme="minorEastAsia" w:hAnsiTheme="minorEastAsia" w:eastAsiaTheme="minorEastAsia"/>
                <w:sz w:val="24"/>
                <w:highlight w:val="none"/>
              </w:rPr>
            </w:pPr>
            <w:r>
              <w:rPr>
                <w:rFonts w:ascii="宋体" w:hAnsi="宋体" w:cs="宋体"/>
                <w:sz w:val="24"/>
                <w:highlight w:val="none"/>
              </w:rPr>
              <w:t>资产净额</w:t>
            </w:r>
          </w:p>
        </w:tc>
        <w:tc>
          <w:tcPr>
            <w:tcW w:w="2428" w:type="dxa"/>
            <w:shd w:val="clear" w:color="auto" w:fill="auto"/>
            <w:vAlign w:val="center"/>
          </w:tcPr>
          <w:p w14:paraId="5260C45D">
            <w:pPr>
              <w:widowControl/>
              <w:jc w:val="right"/>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182,865.06</w:t>
            </w:r>
          </w:p>
        </w:tc>
        <w:tc>
          <w:tcPr>
            <w:tcW w:w="2841" w:type="dxa"/>
            <w:shd w:val="clear" w:color="auto" w:fill="auto"/>
            <w:vAlign w:val="center"/>
          </w:tcPr>
          <w:p w14:paraId="6898FDBE">
            <w:pPr>
              <w:widowControl/>
              <w:jc w:val="right"/>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1</w:t>
            </w:r>
            <w:r>
              <w:rPr>
                <w:rFonts w:hint="eastAsia" w:ascii="宋体" w:hAnsi="宋体" w:cs="宋体"/>
                <w:color w:val="000000"/>
                <w:kern w:val="0"/>
                <w:sz w:val="24"/>
                <w:highlight w:val="none"/>
                <w:lang w:val="en-US" w:eastAsia="zh-CN" w:bidi="ar"/>
              </w:rPr>
              <w:t>91</w:t>
            </w:r>
            <w:r>
              <w:rPr>
                <w:rFonts w:hint="eastAsia" w:ascii="宋体" w:hAnsi="宋体" w:cs="宋体"/>
                <w:color w:val="000000"/>
                <w:kern w:val="0"/>
                <w:sz w:val="24"/>
                <w:highlight w:val="none"/>
                <w:lang w:bidi="ar"/>
              </w:rPr>
              <w:t>,</w:t>
            </w:r>
            <w:r>
              <w:rPr>
                <w:rFonts w:hint="eastAsia" w:ascii="宋体" w:hAnsi="宋体" w:cs="宋体"/>
                <w:color w:val="000000"/>
                <w:kern w:val="0"/>
                <w:sz w:val="24"/>
                <w:highlight w:val="none"/>
                <w:lang w:val="en-US" w:eastAsia="zh-CN" w:bidi="ar"/>
              </w:rPr>
              <w:t>362</w:t>
            </w:r>
            <w:r>
              <w:rPr>
                <w:rFonts w:hint="eastAsia" w:ascii="宋体" w:hAnsi="宋体" w:cs="宋体"/>
                <w:color w:val="000000"/>
                <w:kern w:val="0"/>
                <w:sz w:val="24"/>
                <w:highlight w:val="none"/>
                <w:lang w:bidi="ar"/>
              </w:rPr>
              <w:t>.</w:t>
            </w:r>
            <w:r>
              <w:rPr>
                <w:rFonts w:hint="eastAsia" w:ascii="宋体" w:hAnsi="宋体" w:cs="宋体"/>
                <w:color w:val="000000"/>
                <w:kern w:val="0"/>
                <w:sz w:val="24"/>
                <w:highlight w:val="none"/>
                <w:lang w:val="en-US" w:eastAsia="zh-CN" w:bidi="ar"/>
              </w:rPr>
              <w:t>9</w:t>
            </w:r>
            <w:r>
              <w:rPr>
                <w:rFonts w:hint="eastAsia" w:ascii="宋体" w:hAnsi="宋体" w:cs="宋体"/>
                <w:color w:val="000000"/>
                <w:kern w:val="0"/>
                <w:sz w:val="24"/>
                <w:highlight w:val="none"/>
                <w:lang w:bidi="ar"/>
              </w:rPr>
              <w:t>8</w:t>
            </w:r>
          </w:p>
        </w:tc>
      </w:tr>
      <w:tr w14:paraId="1FCCF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0" w:type="dxa"/>
            <w:vAlign w:val="center"/>
          </w:tcPr>
          <w:p w14:paraId="67A118E9">
            <w:pPr>
              <w:spacing w:line="360" w:lineRule="auto"/>
              <w:jc w:val="center"/>
              <w:rPr>
                <w:rFonts w:hint="eastAsia" w:asciiTheme="minorEastAsia" w:hAnsiTheme="minorEastAsia" w:eastAsiaTheme="minorEastAsia"/>
                <w:sz w:val="24"/>
                <w:highlight w:val="none"/>
              </w:rPr>
            </w:pPr>
            <w:r>
              <w:rPr>
                <w:rFonts w:ascii="宋体" w:hAnsi="宋体" w:cs="宋体"/>
                <w:sz w:val="24"/>
                <w:highlight w:val="none"/>
              </w:rPr>
              <w:t>营业收入</w:t>
            </w:r>
          </w:p>
        </w:tc>
        <w:tc>
          <w:tcPr>
            <w:tcW w:w="2428" w:type="dxa"/>
            <w:shd w:val="clear" w:color="auto" w:fill="auto"/>
            <w:vAlign w:val="center"/>
          </w:tcPr>
          <w:p w14:paraId="0018EA87">
            <w:pPr>
              <w:widowControl/>
              <w:jc w:val="right"/>
              <w:textAlignment w:val="bottom"/>
              <w:rPr>
                <w:rFonts w:hint="eastAsia" w:ascii="宋体" w:hAnsi="宋体" w:cs="宋体"/>
                <w:color w:val="000000"/>
                <w:sz w:val="24"/>
                <w:highlight w:val="none"/>
              </w:rPr>
            </w:pPr>
            <w:r>
              <w:rPr>
                <w:rFonts w:hint="eastAsia" w:ascii="宋体" w:hAnsi="宋体" w:cs="宋体"/>
                <w:color w:val="000000"/>
                <w:kern w:val="0"/>
                <w:sz w:val="24"/>
                <w:highlight w:val="none"/>
                <w:lang w:bidi="ar"/>
              </w:rPr>
              <w:t>282,958.91</w:t>
            </w:r>
          </w:p>
        </w:tc>
        <w:tc>
          <w:tcPr>
            <w:tcW w:w="2841" w:type="dxa"/>
            <w:shd w:val="clear" w:color="auto" w:fill="auto"/>
            <w:vAlign w:val="center"/>
          </w:tcPr>
          <w:p w14:paraId="40EC7C25">
            <w:pPr>
              <w:widowControl/>
              <w:jc w:val="right"/>
              <w:textAlignment w:val="bottom"/>
              <w:rPr>
                <w:rFonts w:hint="eastAsia" w:ascii="宋体" w:hAnsi="宋体" w:eastAsia="宋体" w:cs="宋体"/>
                <w:color w:val="000000"/>
                <w:sz w:val="24"/>
                <w:highlight w:val="none"/>
                <w:lang w:val="en-US" w:eastAsia="zh-CN"/>
              </w:rPr>
            </w:pPr>
            <w:r>
              <w:rPr>
                <w:rFonts w:hint="eastAsia" w:ascii="宋体" w:hAnsi="宋体" w:cs="宋体"/>
                <w:color w:val="000000"/>
                <w:kern w:val="0"/>
                <w:sz w:val="24"/>
                <w:highlight w:val="none"/>
                <w:lang w:val="en-US" w:eastAsia="zh-CN" w:bidi="ar"/>
              </w:rPr>
              <w:t>228</w:t>
            </w:r>
            <w:r>
              <w:rPr>
                <w:rFonts w:hint="eastAsia" w:ascii="宋体" w:hAnsi="宋体" w:cs="宋体"/>
                <w:color w:val="000000"/>
                <w:kern w:val="0"/>
                <w:sz w:val="24"/>
                <w:highlight w:val="none"/>
                <w:lang w:bidi="ar"/>
              </w:rPr>
              <w:t>,</w:t>
            </w:r>
            <w:r>
              <w:rPr>
                <w:rFonts w:hint="eastAsia" w:ascii="宋体" w:hAnsi="宋体" w:cs="宋体"/>
                <w:color w:val="000000"/>
                <w:kern w:val="0"/>
                <w:sz w:val="24"/>
                <w:highlight w:val="none"/>
                <w:lang w:val="en-US" w:eastAsia="zh-CN" w:bidi="ar"/>
              </w:rPr>
              <w:t>708</w:t>
            </w:r>
            <w:r>
              <w:rPr>
                <w:rFonts w:hint="eastAsia" w:ascii="宋体" w:hAnsi="宋体" w:cs="宋体"/>
                <w:color w:val="000000"/>
                <w:kern w:val="0"/>
                <w:sz w:val="24"/>
                <w:highlight w:val="none"/>
                <w:lang w:bidi="ar"/>
              </w:rPr>
              <w:t>.9</w:t>
            </w:r>
            <w:r>
              <w:rPr>
                <w:rFonts w:hint="eastAsia" w:ascii="宋体" w:hAnsi="宋体" w:cs="宋体"/>
                <w:color w:val="000000"/>
                <w:kern w:val="0"/>
                <w:sz w:val="24"/>
                <w:highlight w:val="none"/>
                <w:lang w:val="en-US" w:eastAsia="zh-CN" w:bidi="ar"/>
              </w:rPr>
              <w:t>8</w:t>
            </w:r>
          </w:p>
        </w:tc>
      </w:tr>
      <w:tr w14:paraId="67FE8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0" w:type="dxa"/>
            <w:shd w:val="clear" w:color="auto" w:fill="auto"/>
            <w:vAlign w:val="center"/>
          </w:tcPr>
          <w:p w14:paraId="5EF84F6A">
            <w:pPr>
              <w:spacing w:line="360" w:lineRule="auto"/>
              <w:jc w:val="center"/>
              <w:rPr>
                <w:rFonts w:hint="eastAsia" w:asciiTheme="minorEastAsia" w:hAnsiTheme="minorEastAsia" w:eastAsiaTheme="minorEastAsia"/>
                <w:sz w:val="24"/>
                <w:highlight w:val="none"/>
              </w:rPr>
            </w:pPr>
            <w:r>
              <w:rPr>
                <w:rFonts w:hint="eastAsia" w:ascii="宋体" w:hAnsi="宋体" w:cs="宋体"/>
                <w:sz w:val="24"/>
                <w:highlight w:val="none"/>
              </w:rPr>
              <w:t>净利润</w:t>
            </w:r>
          </w:p>
        </w:tc>
        <w:tc>
          <w:tcPr>
            <w:tcW w:w="2428" w:type="dxa"/>
            <w:shd w:val="clear" w:color="auto" w:fill="auto"/>
            <w:vAlign w:val="center"/>
          </w:tcPr>
          <w:p w14:paraId="6E560BCC">
            <w:pPr>
              <w:widowControl/>
              <w:jc w:val="right"/>
              <w:textAlignment w:val="bottom"/>
              <w:rPr>
                <w:rFonts w:hint="eastAsia" w:ascii="宋体" w:hAnsi="宋体" w:cs="宋体"/>
                <w:color w:val="000000"/>
                <w:sz w:val="24"/>
                <w:highlight w:val="none"/>
              </w:rPr>
            </w:pPr>
            <w:r>
              <w:rPr>
                <w:rFonts w:hint="eastAsia" w:ascii="宋体" w:hAnsi="宋体" w:cs="宋体"/>
                <w:color w:val="000000"/>
                <w:kern w:val="0"/>
                <w:sz w:val="24"/>
                <w:highlight w:val="none"/>
                <w:lang w:bidi="ar"/>
              </w:rPr>
              <w:t>-9,007.82</w:t>
            </w:r>
          </w:p>
        </w:tc>
        <w:tc>
          <w:tcPr>
            <w:tcW w:w="2841" w:type="dxa"/>
            <w:shd w:val="clear" w:color="auto" w:fill="auto"/>
            <w:vAlign w:val="center"/>
          </w:tcPr>
          <w:p w14:paraId="78C4AA71">
            <w:pPr>
              <w:widowControl/>
              <w:jc w:val="right"/>
              <w:textAlignment w:val="bottom"/>
              <w:rPr>
                <w:rFonts w:hint="eastAsia" w:ascii="宋体" w:hAnsi="宋体" w:cs="宋体"/>
                <w:color w:val="000000"/>
                <w:sz w:val="24"/>
                <w:highlight w:val="none"/>
              </w:rPr>
            </w:pPr>
            <w:r>
              <w:rPr>
                <w:rFonts w:hint="eastAsia" w:ascii="宋体" w:hAnsi="宋体" w:cs="宋体"/>
                <w:color w:val="000000"/>
                <w:kern w:val="0"/>
                <w:sz w:val="24"/>
                <w:highlight w:val="none"/>
                <w:lang w:val="en-US" w:eastAsia="zh-CN" w:bidi="ar"/>
              </w:rPr>
              <w:t>3</w:t>
            </w:r>
            <w:r>
              <w:rPr>
                <w:rFonts w:hint="eastAsia" w:ascii="宋体" w:hAnsi="宋体" w:cs="宋体"/>
                <w:color w:val="000000"/>
                <w:kern w:val="0"/>
                <w:sz w:val="24"/>
                <w:highlight w:val="none"/>
                <w:lang w:bidi="ar"/>
              </w:rPr>
              <w:t>,</w:t>
            </w:r>
            <w:r>
              <w:rPr>
                <w:rFonts w:hint="eastAsia" w:ascii="宋体" w:hAnsi="宋体" w:cs="宋体"/>
                <w:color w:val="000000"/>
                <w:kern w:val="0"/>
                <w:sz w:val="24"/>
                <w:highlight w:val="none"/>
                <w:lang w:val="en-US" w:eastAsia="zh-CN" w:bidi="ar"/>
              </w:rPr>
              <w:t>687</w:t>
            </w:r>
            <w:r>
              <w:rPr>
                <w:rFonts w:hint="eastAsia" w:ascii="宋体" w:hAnsi="宋体" w:cs="宋体"/>
                <w:color w:val="000000"/>
                <w:kern w:val="0"/>
                <w:sz w:val="24"/>
                <w:highlight w:val="none"/>
                <w:lang w:bidi="ar"/>
              </w:rPr>
              <w:t>.</w:t>
            </w:r>
            <w:r>
              <w:rPr>
                <w:rFonts w:hint="eastAsia" w:ascii="宋体" w:hAnsi="宋体" w:cs="宋体"/>
                <w:color w:val="000000"/>
                <w:kern w:val="0"/>
                <w:sz w:val="24"/>
                <w:highlight w:val="none"/>
                <w:lang w:val="en-US" w:eastAsia="zh-CN" w:bidi="ar"/>
              </w:rPr>
              <w:t>1</w:t>
            </w:r>
            <w:r>
              <w:rPr>
                <w:rFonts w:hint="eastAsia" w:ascii="宋体" w:hAnsi="宋体" w:cs="宋体"/>
                <w:color w:val="000000"/>
                <w:kern w:val="0"/>
                <w:sz w:val="24"/>
                <w:highlight w:val="none"/>
                <w:lang w:bidi="ar"/>
              </w:rPr>
              <w:t>5</w:t>
            </w:r>
          </w:p>
        </w:tc>
      </w:tr>
      <w:tr w14:paraId="20031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0" w:type="dxa"/>
            <w:shd w:val="clear" w:color="auto" w:fill="auto"/>
            <w:vAlign w:val="center"/>
          </w:tcPr>
          <w:p w14:paraId="08ABF0FB">
            <w:pPr>
              <w:spacing w:line="360" w:lineRule="auto"/>
              <w:jc w:val="center"/>
              <w:rPr>
                <w:rFonts w:hint="eastAsia" w:asciiTheme="minorEastAsia" w:hAnsiTheme="minorEastAsia" w:eastAsiaTheme="minorEastAsia"/>
                <w:sz w:val="24"/>
                <w:highlight w:val="none"/>
              </w:rPr>
            </w:pPr>
            <w:r>
              <w:rPr>
                <w:rFonts w:ascii="宋体" w:hAnsi="宋体" w:cs="宋体"/>
                <w:sz w:val="24"/>
                <w:highlight w:val="none"/>
              </w:rPr>
              <w:t>经营活动产生的现金流量净额</w:t>
            </w:r>
          </w:p>
        </w:tc>
        <w:tc>
          <w:tcPr>
            <w:tcW w:w="2428" w:type="dxa"/>
            <w:shd w:val="clear" w:color="auto" w:fill="auto"/>
            <w:vAlign w:val="center"/>
          </w:tcPr>
          <w:p w14:paraId="504F68B1">
            <w:pPr>
              <w:widowControl/>
              <w:jc w:val="right"/>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-15,765.27</w:t>
            </w:r>
          </w:p>
        </w:tc>
        <w:tc>
          <w:tcPr>
            <w:tcW w:w="2841" w:type="dxa"/>
            <w:shd w:val="clear" w:color="auto" w:fill="auto"/>
            <w:vAlign w:val="center"/>
          </w:tcPr>
          <w:p w14:paraId="0D65AA13">
            <w:pPr>
              <w:widowControl/>
              <w:jc w:val="right"/>
              <w:textAlignment w:val="bottom"/>
              <w:rPr>
                <w:rFonts w:hint="default" w:eastAsia="宋体" w:asciiTheme="minorEastAsia" w:hAnsiTheme="minorEastAsia"/>
                <w:sz w:val="24"/>
                <w:highlight w:val="none"/>
                <w:lang w:val="en-US" w:eastAsia="zh-CN"/>
              </w:rPr>
            </w:pPr>
            <w:r>
              <w:rPr>
                <w:rFonts w:hint="eastAsia" w:ascii="宋体" w:hAnsi="宋体" w:cs="宋体"/>
                <w:color w:val="000000"/>
                <w:kern w:val="0"/>
                <w:sz w:val="24"/>
                <w:highlight w:val="none"/>
                <w:lang w:bidi="ar"/>
              </w:rPr>
              <w:t>1</w:t>
            </w:r>
            <w:r>
              <w:rPr>
                <w:rFonts w:hint="eastAsia" w:ascii="宋体" w:hAnsi="宋体" w:cs="宋体"/>
                <w:color w:val="000000"/>
                <w:kern w:val="0"/>
                <w:sz w:val="24"/>
                <w:highlight w:val="none"/>
                <w:lang w:val="en-US" w:eastAsia="zh-CN" w:bidi="ar"/>
              </w:rPr>
              <w:t>7</w:t>
            </w:r>
            <w:r>
              <w:rPr>
                <w:rFonts w:hint="eastAsia" w:ascii="宋体" w:hAnsi="宋体" w:cs="宋体"/>
                <w:color w:val="000000"/>
                <w:kern w:val="0"/>
                <w:sz w:val="24"/>
                <w:highlight w:val="none"/>
                <w:lang w:bidi="ar"/>
              </w:rPr>
              <w:t>,</w:t>
            </w:r>
            <w:r>
              <w:rPr>
                <w:rFonts w:hint="eastAsia" w:ascii="宋体" w:hAnsi="宋体" w:cs="宋体"/>
                <w:color w:val="000000"/>
                <w:kern w:val="0"/>
                <w:sz w:val="24"/>
                <w:highlight w:val="none"/>
                <w:lang w:val="en-US" w:eastAsia="zh-CN" w:bidi="ar"/>
              </w:rPr>
              <w:t>955</w:t>
            </w:r>
            <w:r>
              <w:rPr>
                <w:rFonts w:hint="eastAsia" w:ascii="宋体" w:hAnsi="宋体" w:cs="宋体"/>
                <w:color w:val="000000"/>
                <w:kern w:val="0"/>
                <w:sz w:val="24"/>
                <w:highlight w:val="none"/>
                <w:lang w:bidi="ar"/>
              </w:rPr>
              <w:t>.</w:t>
            </w:r>
            <w:r>
              <w:rPr>
                <w:rFonts w:hint="eastAsia" w:ascii="宋体" w:hAnsi="宋体" w:cs="宋体"/>
                <w:color w:val="000000"/>
                <w:kern w:val="0"/>
                <w:sz w:val="24"/>
                <w:highlight w:val="none"/>
                <w:lang w:val="en-US" w:eastAsia="zh-CN" w:bidi="ar"/>
              </w:rPr>
              <w:t>50</w:t>
            </w:r>
          </w:p>
        </w:tc>
      </w:tr>
    </w:tbl>
    <w:p w14:paraId="4F47B00C">
      <w:pPr>
        <w:spacing w:line="360" w:lineRule="auto"/>
        <w:ind w:firstLine="480" w:firstLineChars="200"/>
        <w:rPr>
          <w:rFonts w:hint="eastAsia" w:asciiTheme="minorEastAsia" w:hAnsiTheme="minorEastAsia" w:eastAsiaTheme="minorEastAsia"/>
          <w:sz w:val="24"/>
          <w:highlight w:val="none"/>
        </w:rPr>
      </w:pPr>
    </w:p>
    <w:p w14:paraId="0BD4764E">
      <w:pPr>
        <w:numPr>
          <w:ilvl w:val="0"/>
          <w:numId w:val="3"/>
        </w:numPr>
        <w:spacing w:line="360" w:lineRule="auto"/>
        <w:ind w:firstLine="480" w:firstLineChars="200"/>
        <w:rPr>
          <w:rFonts w:hint="eastAsia" w:ascii="宋体" w:hAnsi="宋体" w:cs="宋体"/>
          <w:sz w:val="24"/>
          <w:highlight w:val="none"/>
        </w:rPr>
      </w:pPr>
      <w:r>
        <w:rPr>
          <w:rFonts w:ascii="宋体" w:hAnsi="宋体" w:cs="宋体"/>
          <w:sz w:val="24"/>
          <w:highlight w:val="none"/>
        </w:rPr>
        <w:t>控股股东偿债能力指标</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99"/>
        <w:gridCol w:w="4523"/>
      </w:tblGrid>
      <w:tr w14:paraId="1A5EB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999" w:type="dxa"/>
          </w:tcPr>
          <w:p w14:paraId="38F7AB39">
            <w:pPr>
              <w:spacing w:line="360" w:lineRule="auto"/>
              <w:rPr>
                <w:rFonts w:hint="eastAsia" w:ascii="宋体" w:hAnsi="宋体" w:cs="宋体"/>
                <w:sz w:val="24"/>
                <w:highlight w:val="none"/>
              </w:rPr>
            </w:pPr>
            <w:r>
              <w:rPr>
                <w:rFonts w:ascii="宋体" w:hAnsi="宋体" w:cs="宋体"/>
                <w:sz w:val="24"/>
                <w:highlight w:val="none"/>
              </w:rPr>
              <w:t>资产负债率</w:t>
            </w:r>
          </w:p>
        </w:tc>
        <w:tc>
          <w:tcPr>
            <w:tcW w:w="4523" w:type="dxa"/>
          </w:tcPr>
          <w:p w14:paraId="651C4E96">
            <w:pPr>
              <w:spacing w:line="360" w:lineRule="auto"/>
              <w:rPr>
                <w:rFonts w:hint="eastAsia" w:ascii="宋体" w:hAnsi="宋体" w:cs="宋体"/>
                <w:sz w:val="24"/>
                <w:highlight w:val="none"/>
              </w:rPr>
            </w:pPr>
            <w:r>
              <w:rPr>
                <w:rFonts w:hint="eastAsia" w:ascii="宋体" w:hAnsi="宋体" w:cs="宋体"/>
                <w:sz w:val="24"/>
                <w:highlight w:val="none"/>
              </w:rPr>
              <w:t>6</w:t>
            </w:r>
            <w:r>
              <w:rPr>
                <w:rFonts w:hint="eastAsia" w:ascii="宋体" w:hAnsi="宋体" w:cs="宋体"/>
                <w:sz w:val="24"/>
                <w:highlight w:val="none"/>
                <w:lang w:val="en-US" w:eastAsia="zh-CN"/>
              </w:rPr>
              <w:t>2</w:t>
            </w:r>
            <w:r>
              <w:rPr>
                <w:rFonts w:hint="eastAsia" w:ascii="宋体" w:hAnsi="宋体" w:cs="宋体"/>
                <w:sz w:val="24"/>
                <w:highlight w:val="none"/>
              </w:rPr>
              <w:t>.8</w:t>
            </w:r>
            <w:r>
              <w:rPr>
                <w:rFonts w:hint="eastAsia" w:ascii="宋体" w:hAnsi="宋体" w:cs="宋体"/>
                <w:sz w:val="24"/>
                <w:highlight w:val="none"/>
                <w:lang w:val="en-US" w:eastAsia="zh-CN"/>
              </w:rPr>
              <w:t>6</w:t>
            </w:r>
            <w:r>
              <w:rPr>
                <w:rFonts w:hint="eastAsia" w:ascii="宋体" w:hAnsi="宋体" w:cs="宋体"/>
                <w:sz w:val="24"/>
                <w:highlight w:val="none"/>
              </w:rPr>
              <w:t>%</w:t>
            </w:r>
          </w:p>
        </w:tc>
      </w:tr>
      <w:tr w14:paraId="2B7CE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99" w:type="dxa"/>
          </w:tcPr>
          <w:p w14:paraId="797BBC90">
            <w:pPr>
              <w:spacing w:line="360" w:lineRule="auto"/>
              <w:rPr>
                <w:rFonts w:hint="eastAsia" w:ascii="宋体" w:hAnsi="宋体" w:cs="宋体"/>
                <w:sz w:val="24"/>
                <w:highlight w:val="none"/>
              </w:rPr>
            </w:pPr>
            <w:r>
              <w:rPr>
                <w:rFonts w:hint="eastAsia" w:ascii="宋体" w:hAnsi="宋体" w:cs="宋体"/>
                <w:sz w:val="24"/>
                <w:highlight w:val="none"/>
              </w:rPr>
              <w:t>流动比率</w:t>
            </w:r>
          </w:p>
        </w:tc>
        <w:tc>
          <w:tcPr>
            <w:tcW w:w="4523" w:type="dxa"/>
          </w:tcPr>
          <w:p w14:paraId="773C8AA1">
            <w:pPr>
              <w:spacing w:line="360" w:lineRule="auto"/>
              <w:rPr>
                <w:rFonts w:hint="eastAsia" w:ascii="宋体" w:hAnsi="宋体" w:eastAsia="宋体" w:cs="宋体"/>
                <w:sz w:val="24"/>
                <w:highlight w:val="none"/>
                <w:lang w:val="en-US" w:eastAsia="zh-CN"/>
              </w:rPr>
            </w:pPr>
            <w:r>
              <w:rPr>
                <w:rFonts w:hint="eastAsia" w:ascii="宋体" w:hAnsi="宋体" w:cs="宋体"/>
                <w:sz w:val="24"/>
                <w:highlight w:val="none"/>
              </w:rPr>
              <w:t>1.5</w:t>
            </w:r>
            <w:r>
              <w:rPr>
                <w:rFonts w:hint="eastAsia" w:ascii="宋体" w:hAnsi="宋体" w:cs="宋体"/>
                <w:sz w:val="24"/>
                <w:highlight w:val="none"/>
                <w:lang w:val="en-US" w:eastAsia="zh-CN"/>
              </w:rPr>
              <w:t>3</w:t>
            </w:r>
          </w:p>
        </w:tc>
      </w:tr>
      <w:tr w14:paraId="71681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99" w:type="dxa"/>
          </w:tcPr>
          <w:p w14:paraId="7CC60E5F">
            <w:pPr>
              <w:spacing w:line="360" w:lineRule="auto"/>
              <w:rPr>
                <w:rFonts w:hint="eastAsia" w:ascii="宋体" w:hAnsi="宋体" w:cs="宋体"/>
                <w:sz w:val="24"/>
                <w:highlight w:val="none"/>
              </w:rPr>
            </w:pPr>
            <w:r>
              <w:rPr>
                <w:rFonts w:hint="eastAsia" w:ascii="宋体" w:hAnsi="宋体" w:cs="宋体"/>
                <w:sz w:val="24"/>
                <w:highlight w:val="none"/>
              </w:rPr>
              <w:t>速动比率</w:t>
            </w:r>
          </w:p>
        </w:tc>
        <w:tc>
          <w:tcPr>
            <w:tcW w:w="4523" w:type="dxa"/>
          </w:tcPr>
          <w:p w14:paraId="405912E6">
            <w:pPr>
              <w:spacing w:line="360" w:lineRule="auto"/>
              <w:rPr>
                <w:rFonts w:hint="default" w:ascii="宋体" w:hAnsi="宋体" w:eastAsia="宋体" w:cs="宋体"/>
                <w:sz w:val="24"/>
                <w:highlight w:val="none"/>
                <w:lang w:val="en-US" w:eastAsia="zh-CN"/>
              </w:rPr>
            </w:pPr>
            <w:r>
              <w:rPr>
                <w:rFonts w:hint="eastAsia" w:ascii="宋体" w:hAnsi="宋体" w:cs="宋体"/>
                <w:sz w:val="24"/>
                <w:highlight w:val="none"/>
              </w:rPr>
              <w:t>1.</w:t>
            </w:r>
            <w:r>
              <w:rPr>
                <w:rFonts w:hint="eastAsia" w:ascii="宋体" w:hAnsi="宋体" w:cs="宋体"/>
                <w:sz w:val="24"/>
                <w:highlight w:val="none"/>
                <w:lang w:val="en-US" w:eastAsia="zh-CN"/>
              </w:rPr>
              <w:t>32</w:t>
            </w:r>
          </w:p>
        </w:tc>
      </w:tr>
      <w:tr w14:paraId="7FED8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99" w:type="dxa"/>
          </w:tcPr>
          <w:p w14:paraId="35BC6BD8">
            <w:pPr>
              <w:spacing w:line="360" w:lineRule="auto"/>
              <w:rPr>
                <w:rFonts w:hint="eastAsia" w:ascii="宋体" w:hAnsi="宋体" w:cs="宋体"/>
                <w:sz w:val="24"/>
                <w:highlight w:val="none"/>
              </w:rPr>
            </w:pPr>
            <w:r>
              <w:rPr>
                <w:rFonts w:hint="eastAsia" w:ascii="宋体" w:hAnsi="宋体" w:cs="宋体"/>
                <w:sz w:val="24"/>
                <w:highlight w:val="none"/>
              </w:rPr>
              <w:t>现</w:t>
            </w:r>
            <w:r>
              <w:rPr>
                <w:rFonts w:ascii="宋体" w:hAnsi="宋体" w:cs="宋体"/>
                <w:sz w:val="24"/>
                <w:highlight w:val="none"/>
              </w:rPr>
              <w:t>金/流动负债比率</w:t>
            </w:r>
          </w:p>
        </w:tc>
        <w:tc>
          <w:tcPr>
            <w:tcW w:w="4523" w:type="dxa"/>
          </w:tcPr>
          <w:p w14:paraId="6C2A8E77">
            <w:pPr>
              <w:spacing w:line="360" w:lineRule="auto"/>
              <w:rPr>
                <w:rFonts w:hint="eastAsia" w:ascii="宋体" w:hAnsi="宋体" w:cs="宋体"/>
                <w:sz w:val="24"/>
                <w:highlight w:val="none"/>
              </w:rPr>
            </w:pPr>
            <w:r>
              <w:rPr>
                <w:rFonts w:hint="eastAsia" w:ascii="宋体" w:hAnsi="宋体" w:cs="宋体"/>
                <w:sz w:val="24"/>
                <w:highlight w:val="none"/>
                <w:lang w:val="en-US" w:eastAsia="zh-CN"/>
              </w:rPr>
              <w:t>54.85</w:t>
            </w:r>
            <w:r>
              <w:rPr>
                <w:rFonts w:hint="eastAsia" w:ascii="宋体" w:hAnsi="宋体" w:cs="宋体"/>
                <w:sz w:val="24"/>
                <w:highlight w:val="none"/>
              </w:rPr>
              <w:t>%</w:t>
            </w:r>
          </w:p>
        </w:tc>
      </w:tr>
      <w:tr w14:paraId="46485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99" w:type="dxa"/>
          </w:tcPr>
          <w:p w14:paraId="38F7AD02">
            <w:pPr>
              <w:spacing w:line="360" w:lineRule="auto"/>
              <w:rPr>
                <w:rFonts w:hint="eastAsia" w:ascii="宋体" w:hAnsi="宋体" w:cs="宋体"/>
                <w:sz w:val="24"/>
                <w:highlight w:val="none"/>
              </w:rPr>
            </w:pPr>
            <w:r>
              <w:rPr>
                <w:rFonts w:ascii="宋体" w:hAnsi="宋体" w:cs="宋体"/>
                <w:sz w:val="24"/>
                <w:highlight w:val="none"/>
              </w:rPr>
              <w:t>可利用的融资渠道及授信额度</w:t>
            </w:r>
          </w:p>
        </w:tc>
        <w:tc>
          <w:tcPr>
            <w:tcW w:w="4523" w:type="dxa"/>
          </w:tcPr>
          <w:p w14:paraId="39A7890D">
            <w:pPr>
              <w:spacing w:line="360" w:lineRule="auto"/>
              <w:rPr>
                <w:rFonts w:hint="eastAsia" w:ascii="宋体" w:hAnsi="宋体" w:cs="宋体"/>
                <w:sz w:val="24"/>
                <w:highlight w:val="none"/>
              </w:rPr>
            </w:pPr>
            <w:r>
              <w:rPr>
                <w:rFonts w:hint="eastAsia" w:ascii="宋体" w:hAnsi="宋体" w:cs="宋体"/>
                <w:sz w:val="24"/>
                <w:highlight w:val="none"/>
              </w:rPr>
              <w:t>20,000万元</w:t>
            </w:r>
          </w:p>
        </w:tc>
      </w:tr>
      <w:tr w14:paraId="3DEA1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99" w:type="dxa"/>
          </w:tcPr>
          <w:p w14:paraId="56209ADE">
            <w:pPr>
              <w:spacing w:line="360" w:lineRule="auto"/>
              <w:rPr>
                <w:rFonts w:hint="eastAsia" w:ascii="宋体" w:hAnsi="宋体" w:cs="宋体"/>
                <w:sz w:val="24"/>
                <w:highlight w:val="none"/>
              </w:rPr>
            </w:pPr>
            <w:r>
              <w:rPr>
                <w:rFonts w:hint="eastAsia" w:ascii="宋体" w:hAnsi="宋体" w:cs="宋体"/>
                <w:sz w:val="24"/>
                <w:highlight w:val="none"/>
              </w:rPr>
              <w:t>重</w:t>
            </w:r>
            <w:r>
              <w:rPr>
                <w:rFonts w:ascii="宋体" w:hAnsi="宋体" w:cs="宋体"/>
                <w:sz w:val="24"/>
                <w:highlight w:val="none"/>
              </w:rPr>
              <w:t>大或有负债</w:t>
            </w:r>
          </w:p>
        </w:tc>
        <w:tc>
          <w:tcPr>
            <w:tcW w:w="4523" w:type="dxa"/>
          </w:tcPr>
          <w:p w14:paraId="29276EB3">
            <w:pPr>
              <w:spacing w:line="360" w:lineRule="auto"/>
              <w:rPr>
                <w:rFonts w:hint="eastAsia" w:ascii="宋体" w:hAnsi="宋体" w:cs="宋体"/>
                <w:sz w:val="24"/>
                <w:highlight w:val="none"/>
              </w:rPr>
            </w:pPr>
            <w:r>
              <w:rPr>
                <w:rFonts w:hint="eastAsia" w:ascii="宋体" w:hAnsi="宋体" w:cs="宋体"/>
                <w:sz w:val="24"/>
                <w:highlight w:val="none"/>
              </w:rPr>
              <w:t>无</w:t>
            </w:r>
          </w:p>
        </w:tc>
      </w:tr>
      <w:tr w14:paraId="748A2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99" w:type="dxa"/>
          </w:tcPr>
          <w:p w14:paraId="49AC8208">
            <w:pPr>
              <w:spacing w:line="360" w:lineRule="auto"/>
              <w:rPr>
                <w:rFonts w:hint="eastAsia" w:ascii="宋体" w:hAnsi="宋体" w:cs="宋体"/>
                <w:sz w:val="24"/>
                <w:highlight w:val="none"/>
              </w:rPr>
            </w:pPr>
            <w:r>
              <w:rPr>
                <w:rFonts w:ascii="宋体" w:hAnsi="宋体" w:cs="宋体"/>
                <w:sz w:val="24"/>
                <w:highlight w:val="none"/>
              </w:rPr>
              <w:t>债务逾期或违约记录及其对应金额</w:t>
            </w:r>
          </w:p>
        </w:tc>
        <w:tc>
          <w:tcPr>
            <w:tcW w:w="4523" w:type="dxa"/>
          </w:tcPr>
          <w:p w14:paraId="75DFC983">
            <w:pPr>
              <w:spacing w:line="360" w:lineRule="auto"/>
              <w:rPr>
                <w:rFonts w:hint="eastAsia" w:ascii="宋体" w:hAnsi="宋体" w:cs="宋体"/>
                <w:sz w:val="24"/>
                <w:highlight w:val="none"/>
              </w:rPr>
            </w:pPr>
            <w:r>
              <w:rPr>
                <w:rFonts w:hint="eastAsia" w:ascii="宋体" w:hAnsi="宋体" w:cs="宋体"/>
                <w:sz w:val="24"/>
                <w:highlight w:val="none"/>
              </w:rPr>
              <w:t>无</w:t>
            </w:r>
          </w:p>
        </w:tc>
      </w:tr>
      <w:tr w14:paraId="295FB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99" w:type="dxa"/>
          </w:tcPr>
          <w:p w14:paraId="45C63D12">
            <w:pPr>
              <w:spacing w:line="360" w:lineRule="auto"/>
              <w:rPr>
                <w:rFonts w:hint="eastAsia" w:ascii="宋体" w:hAnsi="宋体" w:cs="宋体"/>
                <w:sz w:val="24"/>
                <w:highlight w:val="none"/>
              </w:rPr>
            </w:pPr>
            <w:r>
              <w:rPr>
                <w:rFonts w:hint="eastAsia" w:ascii="宋体" w:hAnsi="宋体" w:cs="宋体"/>
                <w:sz w:val="24"/>
                <w:highlight w:val="none"/>
              </w:rPr>
              <w:t>对</w:t>
            </w:r>
            <w:r>
              <w:rPr>
                <w:rFonts w:ascii="宋体" w:hAnsi="宋体" w:cs="宋体"/>
                <w:sz w:val="24"/>
                <w:highlight w:val="none"/>
              </w:rPr>
              <w:t>外担保</w:t>
            </w:r>
          </w:p>
        </w:tc>
        <w:tc>
          <w:tcPr>
            <w:tcW w:w="4523" w:type="dxa"/>
          </w:tcPr>
          <w:p w14:paraId="2C7884DB">
            <w:pPr>
              <w:spacing w:line="360" w:lineRule="auto"/>
              <w:rPr>
                <w:rFonts w:hint="eastAsia" w:ascii="宋体" w:hAnsi="宋体" w:cs="宋体"/>
                <w:sz w:val="24"/>
                <w:highlight w:val="none"/>
              </w:rPr>
            </w:pPr>
            <w:r>
              <w:rPr>
                <w:rFonts w:hint="eastAsia" w:ascii="宋体" w:hAnsi="宋体" w:cs="宋体"/>
                <w:sz w:val="24"/>
                <w:highlight w:val="none"/>
              </w:rPr>
              <w:t>对上市公司担保总额共计18,100万元</w:t>
            </w:r>
          </w:p>
        </w:tc>
      </w:tr>
    </w:tbl>
    <w:p w14:paraId="5F08D910">
      <w:pPr>
        <w:spacing w:line="360" w:lineRule="auto"/>
        <w:rPr>
          <w:rFonts w:hint="eastAsia" w:ascii="宋体" w:hAnsi="宋体" w:cs="宋体"/>
          <w:sz w:val="24"/>
          <w:highlight w:val="none"/>
        </w:rPr>
      </w:pPr>
    </w:p>
    <w:p w14:paraId="19FC944A">
      <w:pPr>
        <w:numPr>
          <w:ilvl w:val="0"/>
          <w:numId w:val="3"/>
        </w:numPr>
        <w:spacing w:line="360" w:lineRule="auto"/>
        <w:ind w:firstLine="480" w:firstLineChars="200"/>
        <w:rPr>
          <w:rFonts w:hint="eastAsia" w:ascii="宋体" w:hAnsi="宋体" w:cs="宋体"/>
          <w:sz w:val="24"/>
          <w:highlight w:val="none"/>
        </w:rPr>
      </w:pPr>
      <w:r>
        <w:rPr>
          <w:rFonts w:ascii="宋体" w:hAnsi="宋体" w:cs="宋体"/>
          <w:sz w:val="24"/>
          <w:highlight w:val="none"/>
        </w:rPr>
        <w:t>控股股东</w:t>
      </w:r>
      <w:r>
        <w:rPr>
          <w:rFonts w:hint="eastAsia" w:ascii="宋体" w:hAnsi="宋体" w:cs="宋体"/>
          <w:sz w:val="24"/>
          <w:highlight w:val="none"/>
        </w:rPr>
        <w:t>资金偿还风险</w:t>
      </w:r>
    </w:p>
    <w:p w14:paraId="3D8B0467">
      <w:pPr>
        <w:spacing w:line="360" w:lineRule="auto"/>
        <w:ind w:firstLine="480" w:firstLineChars="200"/>
        <w:rPr>
          <w:rFonts w:hint="eastAsia" w:ascii="宋体" w:hAnsi="宋体" w:cs="宋体"/>
          <w:sz w:val="24"/>
          <w:highlight w:val="none"/>
        </w:rPr>
      </w:pPr>
      <w:r>
        <w:rPr>
          <w:rFonts w:ascii="宋体" w:hAnsi="宋体" w:cs="宋体"/>
          <w:sz w:val="24"/>
          <w:highlight w:val="none"/>
        </w:rPr>
        <w:t>控股股东不存在因债务问题涉及的重大诉讼或仲裁情况。综合考虑资金实力及融资渠道等因素，目前控股股东不存在相关偿债风险。</w:t>
      </w:r>
    </w:p>
    <w:p w14:paraId="28DB1B92">
      <w:pPr>
        <w:spacing w:line="360" w:lineRule="auto"/>
        <w:ind w:firstLine="480" w:firstLineChars="200"/>
        <w:rPr>
          <w:rFonts w:hint="eastAsia" w:asciiTheme="minorEastAsia" w:hAnsiTheme="minorEastAsia" w:eastAsiaTheme="minorEastAsia"/>
          <w:sz w:val="24"/>
          <w:highlight w:val="none"/>
        </w:rPr>
      </w:pPr>
      <w:r>
        <w:rPr>
          <w:rFonts w:hint="eastAsia" w:asciiTheme="minorEastAsia" w:hAnsiTheme="minorEastAsia" w:eastAsiaTheme="minorEastAsia"/>
          <w:sz w:val="24"/>
          <w:highlight w:val="none"/>
        </w:rPr>
        <w:t>3、控股股东与公司交易情况</w:t>
      </w:r>
    </w:p>
    <w:p w14:paraId="343A5F74">
      <w:pPr>
        <w:spacing w:line="360" w:lineRule="auto"/>
        <w:ind w:firstLine="480" w:firstLineChars="200"/>
        <w:rPr>
          <w:rFonts w:hint="eastAsia" w:asciiTheme="minorEastAsia" w:hAnsiTheme="minorEastAsia" w:eastAsiaTheme="minorEastAsia"/>
          <w:sz w:val="24"/>
          <w:highlight w:val="none"/>
        </w:rPr>
      </w:pPr>
      <w:r>
        <w:rPr>
          <w:rFonts w:ascii="宋体" w:hAnsi="宋体" w:cs="宋体"/>
          <w:sz w:val="24"/>
          <w:highlight w:val="none"/>
        </w:rPr>
        <w:t>截至本公告披露日过去12个月，公司与</w:t>
      </w:r>
      <w:r>
        <w:rPr>
          <w:rFonts w:hint="eastAsia" w:ascii="宋体" w:hAnsi="宋体" w:cs="宋体"/>
          <w:sz w:val="24"/>
          <w:highlight w:val="none"/>
        </w:rPr>
        <w:t>控股股东</w:t>
      </w:r>
      <w:r>
        <w:rPr>
          <w:rFonts w:ascii="宋体" w:hAnsi="宋体" w:cs="宋体"/>
          <w:sz w:val="24"/>
          <w:highlight w:val="none"/>
        </w:rPr>
        <w:t>发生的关联交易情况如下：</w:t>
      </w:r>
    </w:p>
    <w:p w14:paraId="675FED36">
      <w:pPr>
        <w:spacing w:line="360" w:lineRule="auto"/>
        <w:ind w:firstLine="480" w:firstLineChars="200"/>
        <w:jc w:val="right"/>
        <w:rPr>
          <w:rFonts w:hint="eastAsia" w:asciiTheme="minorEastAsia" w:hAnsiTheme="minorEastAsia" w:eastAsiaTheme="minorEastAsia"/>
          <w:sz w:val="24"/>
          <w:highlight w:val="none"/>
        </w:rPr>
      </w:pPr>
      <w:r>
        <w:rPr>
          <w:rFonts w:hint="eastAsia" w:asciiTheme="minorEastAsia" w:hAnsiTheme="minorEastAsia" w:eastAsiaTheme="minorEastAsia"/>
          <w:sz w:val="24"/>
          <w:highlight w:val="none"/>
        </w:rPr>
        <w:t>单位：万元</w:t>
      </w:r>
    </w:p>
    <w:p w14:paraId="3E68B34C">
      <w:pPr>
        <w:spacing w:line="360" w:lineRule="auto"/>
        <w:ind w:firstLine="480" w:firstLineChars="200"/>
        <w:jc w:val="right"/>
        <w:rPr>
          <w:rFonts w:hint="eastAsia" w:asciiTheme="minorEastAsia" w:hAnsiTheme="minorEastAsia" w:eastAsiaTheme="minorEastAsia"/>
          <w:sz w:val="24"/>
          <w:highlight w:val="none"/>
        </w:rPr>
      </w:pP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30"/>
        <w:gridCol w:w="2130"/>
        <w:gridCol w:w="2131"/>
        <w:gridCol w:w="2131"/>
      </w:tblGrid>
      <w:tr w14:paraId="0B2BB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14:paraId="462E0CBF">
            <w:pPr>
              <w:spacing w:line="360" w:lineRule="auto"/>
              <w:jc w:val="center"/>
              <w:rPr>
                <w:rFonts w:hint="eastAsia" w:asciiTheme="minorEastAsia" w:hAnsiTheme="minorEastAsia" w:eastAsiaTheme="minorEastAsia"/>
                <w:sz w:val="24"/>
                <w:highlight w:val="none"/>
              </w:rPr>
            </w:pPr>
            <w:r>
              <w:rPr>
                <w:rFonts w:hint="eastAsia" w:ascii="宋体" w:hAnsi="宋体" w:cs="宋体"/>
                <w:sz w:val="24"/>
                <w:highlight w:val="none"/>
              </w:rPr>
              <w:t>关</w:t>
            </w:r>
            <w:r>
              <w:rPr>
                <w:rFonts w:ascii="宋体" w:hAnsi="宋体" w:cs="宋体"/>
                <w:sz w:val="24"/>
                <w:highlight w:val="none"/>
              </w:rPr>
              <w:t>联交易方</w:t>
            </w:r>
          </w:p>
        </w:tc>
        <w:tc>
          <w:tcPr>
            <w:tcW w:w="2130" w:type="dxa"/>
          </w:tcPr>
          <w:p w14:paraId="7C428F40">
            <w:pPr>
              <w:spacing w:line="360" w:lineRule="auto"/>
              <w:jc w:val="center"/>
              <w:rPr>
                <w:rFonts w:hint="eastAsia" w:asciiTheme="minorEastAsia" w:hAnsiTheme="minorEastAsia" w:eastAsiaTheme="minorEastAsia"/>
                <w:sz w:val="24"/>
                <w:highlight w:val="none"/>
              </w:rPr>
            </w:pPr>
            <w:r>
              <w:rPr>
                <w:rFonts w:ascii="宋体" w:hAnsi="宋体" w:cs="宋体"/>
                <w:sz w:val="24"/>
                <w:highlight w:val="none"/>
              </w:rPr>
              <w:t>交易类别</w:t>
            </w:r>
          </w:p>
        </w:tc>
        <w:tc>
          <w:tcPr>
            <w:tcW w:w="2131" w:type="dxa"/>
          </w:tcPr>
          <w:p w14:paraId="58FF5752">
            <w:pPr>
              <w:spacing w:line="360" w:lineRule="auto"/>
              <w:jc w:val="center"/>
              <w:rPr>
                <w:rFonts w:hint="eastAsia" w:asciiTheme="minorEastAsia" w:hAnsiTheme="minorEastAsia" w:eastAsiaTheme="minorEastAsia"/>
                <w:sz w:val="24"/>
                <w:highlight w:val="none"/>
              </w:rPr>
            </w:pPr>
            <w:r>
              <w:rPr>
                <w:rFonts w:ascii="宋体" w:hAnsi="宋体" w:cs="宋体"/>
                <w:sz w:val="24"/>
                <w:highlight w:val="none"/>
              </w:rPr>
              <w:t>关联交易内容</w:t>
            </w:r>
          </w:p>
        </w:tc>
        <w:tc>
          <w:tcPr>
            <w:tcW w:w="2131" w:type="dxa"/>
          </w:tcPr>
          <w:p w14:paraId="3FF1E4CC">
            <w:pPr>
              <w:spacing w:line="360" w:lineRule="auto"/>
              <w:jc w:val="center"/>
              <w:rPr>
                <w:rFonts w:hint="eastAsia" w:asciiTheme="minorEastAsia" w:hAnsiTheme="minorEastAsia" w:eastAsiaTheme="minorEastAsia"/>
                <w:sz w:val="24"/>
                <w:highlight w:val="none"/>
              </w:rPr>
            </w:pPr>
            <w:r>
              <w:rPr>
                <w:rFonts w:ascii="宋体" w:hAnsi="宋体" w:cs="宋体"/>
                <w:sz w:val="24"/>
                <w:highlight w:val="none"/>
              </w:rPr>
              <w:t>交易金额</w:t>
            </w:r>
          </w:p>
        </w:tc>
      </w:tr>
      <w:tr w14:paraId="4F014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14:paraId="1CAA3E7D">
            <w:pPr>
              <w:spacing w:line="360" w:lineRule="auto"/>
              <w:jc w:val="center"/>
              <w:rPr>
                <w:rFonts w:hint="eastAsia" w:asciiTheme="minorEastAsia" w:hAnsiTheme="minorEastAsia" w:eastAsiaTheme="minorEastAsia"/>
                <w:sz w:val="24"/>
                <w:highlight w:val="none"/>
              </w:rPr>
            </w:pPr>
            <w:r>
              <w:rPr>
                <w:rFonts w:hint="eastAsia" w:asciiTheme="minorEastAsia" w:hAnsiTheme="minorEastAsia" w:eastAsiaTheme="minorEastAsia"/>
                <w:sz w:val="24"/>
                <w:highlight w:val="none"/>
              </w:rPr>
              <w:t>苏州吴中投资控股有限公司</w:t>
            </w:r>
          </w:p>
        </w:tc>
        <w:tc>
          <w:tcPr>
            <w:tcW w:w="2130" w:type="dxa"/>
          </w:tcPr>
          <w:p w14:paraId="6DA3D56F">
            <w:pPr>
              <w:spacing w:line="360" w:lineRule="auto"/>
              <w:ind w:firstLine="240" w:firstLineChars="100"/>
              <w:jc w:val="center"/>
              <w:rPr>
                <w:rFonts w:hint="eastAsia" w:asciiTheme="minorEastAsia" w:hAnsiTheme="minorEastAsia" w:eastAsiaTheme="minorEastAsia"/>
                <w:sz w:val="24"/>
                <w:highlight w:val="none"/>
              </w:rPr>
            </w:pPr>
            <w:r>
              <w:rPr>
                <w:rFonts w:hint="eastAsia" w:asciiTheme="minorEastAsia" w:hAnsiTheme="minorEastAsia" w:eastAsiaTheme="minorEastAsia"/>
                <w:sz w:val="24"/>
                <w:highlight w:val="none"/>
              </w:rPr>
              <w:t>房屋租赁</w:t>
            </w:r>
          </w:p>
        </w:tc>
        <w:tc>
          <w:tcPr>
            <w:tcW w:w="2131" w:type="dxa"/>
          </w:tcPr>
          <w:p w14:paraId="15F55821">
            <w:pPr>
              <w:spacing w:line="360" w:lineRule="auto"/>
              <w:jc w:val="center"/>
              <w:rPr>
                <w:rFonts w:hint="eastAsia" w:asciiTheme="minorEastAsia" w:hAnsiTheme="minorEastAsia" w:eastAsiaTheme="minorEastAsia"/>
                <w:sz w:val="24"/>
                <w:highlight w:val="none"/>
              </w:rPr>
            </w:pPr>
            <w:r>
              <w:rPr>
                <w:rFonts w:hint="eastAsia" w:asciiTheme="minorEastAsia" w:hAnsiTheme="minorEastAsia" w:eastAsiaTheme="minorEastAsia"/>
                <w:sz w:val="24"/>
                <w:highlight w:val="none"/>
              </w:rPr>
              <w:t>办公场所租赁</w:t>
            </w:r>
          </w:p>
        </w:tc>
        <w:tc>
          <w:tcPr>
            <w:tcW w:w="2131" w:type="dxa"/>
          </w:tcPr>
          <w:p w14:paraId="6F21B7AD">
            <w:pPr>
              <w:spacing w:line="360" w:lineRule="auto"/>
              <w:jc w:val="center"/>
              <w:rPr>
                <w:rFonts w:hint="eastAsia" w:asciiTheme="minorEastAsia" w:hAnsiTheme="minorEastAsia" w:eastAsiaTheme="minorEastAsia"/>
                <w:sz w:val="24"/>
                <w:highlight w:val="none"/>
              </w:rPr>
            </w:pPr>
            <w:r>
              <w:rPr>
                <w:rFonts w:hint="eastAsia" w:asciiTheme="minorEastAsia" w:hAnsiTheme="minorEastAsia" w:eastAsiaTheme="minorEastAsia"/>
                <w:sz w:val="24"/>
                <w:highlight w:val="none"/>
              </w:rPr>
              <w:t>4.32</w:t>
            </w:r>
          </w:p>
        </w:tc>
      </w:tr>
    </w:tbl>
    <w:p w14:paraId="652E4CAF">
      <w:pPr>
        <w:spacing w:line="360" w:lineRule="auto"/>
        <w:ind w:firstLine="480" w:firstLineChars="200"/>
        <w:jc w:val="left"/>
        <w:rPr>
          <w:rFonts w:hint="eastAsia" w:asciiTheme="minorEastAsia" w:hAnsiTheme="minorEastAsia" w:eastAsiaTheme="minorEastAsia"/>
          <w:sz w:val="24"/>
          <w:highlight w:val="none"/>
        </w:rPr>
      </w:pPr>
      <w:r>
        <w:rPr>
          <w:rFonts w:hint="eastAsia" w:asciiTheme="minorEastAsia" w:hAnsiTheme="minorEastAsia" w:eastAsiaTheme="minorEastAsia"/>
          <w:sz w:val="24"/>
          <w:highlight w:val="none"/>
        </w:rPr>
        <w:t>4、质押风险情况评估及应对措施</w:t>
      </w:r>
    </w:p>
    <w:p w14:paraId="2C970FB9">
      <w:pPr>
        <w:spacing w:line="360" w:lineRule="auto"/>
        <w:ind w:firstLine="480" w:firstLineChars="200"/>
        <w:jc w:val="left"/>
        <w:rPr>
          <w:rFonts w:hint="eastAsia" w:asciiTheme="minorEastAsia" w:hAnsiTheme="minorEastAsia" w:eastAsiaTheme="minorEastAsia"/>
          <w:sz w:val="24"/>
          <w:highlight w:val="none"/>
        </w:rPr>
      </w:pPr>
      <w:r>
        <w:rPr>
          <w:rFonts w:hint="eastAsia" w:asciiTheme="minorEastAsia" w:hAnsiTheme="minorEastAsia" w:eastAsiaTheme="minorEastAsia"/>
          <w:sz w:val="24"/>
          <w:highlight w:val="none"/>
        </w:rPr>
        <w:t>本次质押不存在可能引发平仓或被强制平仓的情况，不存在可能导致公司实际控制权发生变更的实质性因素。如后续出现风险，控股股东将采取包括但不限于补充质押、提前还款等措施加以应对。</w:t>
      </w:r>
    </w:p>
    <w:p w14:paraId="0A5E2444">
      <w:pPr>
        <w:spacing w:line="360" w:lineRule="auto"/>
        <w:ind w:firstLine="480" w:firstLineChars="200"/>
        <w:jc w:val="left"/>
        <w:rPr>
          <w:rFonts w:hint="eastAsia" w:asciiTheme="minorEastAsia" w:hAnsiTheme="minorEastAsia" w:eastAsiaTheme="minorEastAsia"/>
          <w:sz w:val="24"/>
          <w:highlight w:val="none"/>
        </w:rPr>
      </w:pPr>
      <w:r>
        <w:rPr>
          <w:rFonts w:hint="eastAsia" w:asciiTheme="minorEastAsia" w:hAnsiTheme="minorEastAsia" w:eastAsiaTheme="minorEastAsia"/>
          <w:sz w:val="24"/>
          <w:highlight w:val="none"/>
        </w:rPr>
        <w:t>上述质押事项如出现重大变动情况，公司将按照规定及时披露相关情况，敬请广大投资者注意投资风险。</w:t>
      </w:r>
    </w:p>
    <w:p w14:paraId="5DA1B321">
      <w:pPr>
        <w:spacing w:line="360" w:lineRule="auto"/>
        <w:rPr>
          <w:rFonts w:hint="eastAsia" w:asciiTheme="minorEastAsia" w:hAnsiTheme="minorEastAsia" w:eastAsiaTheme="minorEastAsia"/>
          <w:sz w:val="24"/>
          <w:highlight w:val="none"/>
        </w:rPr>
      </w:pPr>
    </w:p>
    <w:p w14:paraId="236365B2">
      <w:pPr>
        <w:spacing w:line="360" w:lineRule="auto"/>
        <w:ind w:firstLine="480" w:firstLineChars="200"/>
        <w:rPr>
          <w:rFonts w:hint="eastAsia" w:asciiTheme="minorEastAsia" w:hAnsiTheme="minorEastAsia" w:eastAsiaTheme="minorEastAsia"/>
          <w:sz w:val="24"/>
          <w:highlight w:val="none"/>
        </w:rPr>
      </w:pPr>
      <w:r>
        <w:rPr>
          <w:rFonts w:hint="eastAsia" w:asciiTheme="minorEastAsia" w:hAnsiTheme="minorEastAsia" w:eastAsiaTheme="minorEastAsia"/>
          <w:sz w:val="24"/>
          <w:highlight w:val="none"/>
        </w:rPr>
        <w:t>特此公告。</w:t>
      </w:r>
    </w:p>
    <w:p w14:paraId="5475831F">
      <w:pPr>
        <w:spacing w:line="360" w:lineRule="auto"/>
        <w:ind w:firstLine="480" w:firstLineChars="200"/>
        <w:rPr>
          <w:rFonts w:hint="eastAsia" w:asciiTheme="minorEastAsia" w:hAnsiTheme="minorEastAsia" w:eastAsiaTheme="minorEastAsia"/>
          <w:sz w:val="24"/>
          <w:highlight w:val="none"/>
        </w:rPr>
      </w:pPr>
    </w:p>
    <w:p w14:paraId="05D69FB2">
      <w:pPr>
        <w:spacing w:line="360" w:lineRule="auto"/>
        <w:ind w:firstLine="480" w:firstLineChars="200"/>
        <w:rPr>
          <w:rFonts w:hint="eastAsia" w:asciiTheme="minorEastAsia" w:hAnsiTheme="minorEastAsia" w:eastAsiaTheme="minorEastAsia"/>
          <w:sz w:val="24"/>
          <w:highlight w:val="none"/>
        </w:rPr>
      </w:pPr>
    </w:p>
    <w:p w14:paraId="28D632CA">
      <w:pPr>
        <w:pStyle w:val="5"/>
        <w:adjustRightInd w:val="0"/>
        <w:snapToGrid w:val="0"/>
        <w:spacing w:before="0" w:beforeAutospacing="0" w:after="0" w:afterAutospacing="0" w:line="360" w:lineRule="auto"/>
        <w:ind w:firstLine="480" w:firstLineChars="200"/>
        <w:jc w:val="right"/>
        <w:rPr>
          <w:rFonts w:hint="eastAsia" w:cs="Arial"/>
          <w:highlight w:val="none"/>
        </w:rPr>
      </w:pPr>
      <w:r>
        <w:rPr>
          <w:rFonts w:hint="eastAsia" w:cs="Arial"/>
          <w:highlight w:val="none"/>
        </w:rPr>
        <w:t>江苏吴中医药发展股份有限公司</w:t>
      </w:r>
    </w:p>
    <w:p w14:paraId="5B2CBAAA">
      <w:pPr>
        <w:pStyle w:val="5"/>
        <w:adjustRightInd w:val="0"/>
        <w:snapToGrid w:val="0"/>
        <w:spacing w:before="0" w:beforeAutospacing="0" w:after="0" w:afterAutospacing="0" w:line="360" w:lineRule="auto"/>
        <w:ind w:right="1080" w:firstLine="480" w:firstLineChars="200"/>
        <w:jc w:val="right"/>
        <w:rPr>
          <w:rFonts w:hint="eastAsia" w:cs="Arial"/>
          <w:highlight w:val="none"/>
        </w:rPr>
      </w:pPr>
      <w:r>
        <w:rPr>
          <w:rFonts w:hint="eastAsia" w:cs="Arial"/>
          <w:highlight w:val="none"/>
        </w:rPr>
        <w:t xml:space="preserve">董事会      </w:t>
      </w:r>
    </w:p>
    <w:p w14:paraId="1B41503F">
      <w:pPr>
        <w:pStyle w:val="5"/>
        <w:adjustRightInd w:val="0"/>
        <w:snapToGrid w:val="0"/>
        <w:spacing w:before="0" w:beforeAutospacing="0" w:after="0" w:afterAutospacing="0" w:line="360" w:lineRule="auto"/>
        <w:ind w:right="480" w:firstLine="480" w:firstLineChars="200"/>
        <w:jc w:val="center"/>
        <w:rPr>
          <w:rFonts w:hint="eastAsia" w:cs="Arial"/>
          <w:highlight w:val="none"/>
        </w:rPr>
      </w:pPr>
      <w:r>
        <w:rPr>
          <w:rFonts w:hint="eastAsia" w:cs="Arial"/>
          <w:highlight w:val="none"/>
        </w:rPr>
        <w:t xml:space="preserve">                                           2024年11月1日</w:t>
      </w:r>
    </w:p>
    <w:p w14:paraId="67752AE9">
      <w:pPr>
        <w:spacing w:line="360" w:lineRule="auto"/>
        <w:rPr>
          <w:rFonts w:hint="eastAsia" w:asciiTheme="minorEastAsia" w:hAnsiTheme="minorEastAsia" w:eastAsiaTheme="minorEastAsia"/>
          <w:sz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ˎ̥">
    <w:altName w:val="Times New Roman"/>
    <w:panose1 w:val="00000000000000000000"/>
    <w:charset w:val="00"/>
    <w:family w:val="roman"/>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217856"/>
    <w:multiLevelType w:val="singleLevel"/>
    <w:tmpl w:val="9A217856"/>
    <w:lvl w:ilvl="0" w:tentative="0">
      <w:start w:val="3"/>
      <w:numFmt w:val="decimal"/>
      <w:suff w:val="nothing"/>
      <w:lvlText w:val="（%1）"/>
      <w:lvlJc w:val="left"/>
    </w:lvl>
  </w:abstractNum>
  <w:abstractNum w:abstractNumId="1">
    <w:nsid w:val="C62708A0"/>
    <w:multiLevelType w:val="singleLevel"/>
    <w:tmpl w:val="C62708A0"/>
    <w:lvl w:ilvl="0" w:tentative="0">
      <w:start w:val="3"/>
      <w:numFmt w:val="chineseCounting"/>
      <w:suff w:val="nothing"/>
      <w:lvlText w:val="%1、"/>
      <w:lvlJc w:val="left"/>
      <w:pPr>
        <w:ind w:left="-62"/>
      </w:pPr>
      <w:rPr>
        <w:rFonts w:hint="eastAsia"/>
      </w:rPr>
    </w:lvl>
  </w:abstractNum>
  <w:abstractNum w:abstractNumId="2">
    <w:nsid w:val="28CD7E0F"/>
    <w:multiLevelType w:val="multilevel"/>
    <w:tmpl w:val="28CD7E0F"/>
    <w:lvl w:ilvl="0" w:tentative="0">
      <w:start w:val="1"/>
      <w:numFmt w:val="bullet"/>
      <w:lvlText w:val=""/>
      <w:lvlJc w:val="left"/>
      <w:pPr>
        <w:ind w:left="840" w:hanging="420"/>
      </w:pPr>
      <w:rPr>
        <w:rFonts w:hint="default" w:ascii="Wingdings" w:hAnsi="Wingdings"/>
      </w:rPr>
    </w:lvl>
    <w:lvl w:ilvl="1" w:tentative="0">
      <w:start w:val="1"/>
      <w:numFmt w:val="bullet"/>
      <w:lvlText w:val=""/>
      <w:lvlJc w:val="left"/>
      <w:pPr>
        <w:ind w:left="1260" w:hanging="420"/>
      </w:pPr>
      <w:rPr>
        <w:rFonts w:hint="default" w:ascii="Wingdings" w:hAnsi="Wingdings"/>
      </w:rPr>
    </w:lvl>
    <w:lvl w:ilvl="2" w:tentative="0">
      <w:start w:val="1"/>
      <w:numFmt w:val="bullet"/>
      <w:lvlText w:val=""/>
      <w:lvlJc w:val="left"/>
      <w:pPr>
        <w:ind w:left="1680" w:hanging="420"/>
      </w:pPr>
      <w:rPr>
        <w:rFonts w:hint="default" w:ascii="Wingdings" w:hAnsi="Wingdings"/>
      </w:rPr>
    </w:lvl>
    <w:lvl w:ilvl="3" w:tentative="0">
      <w:start w:val="1"/>
      <w:numFmt w:val="bullet"/>
      <w:lvlText w:val=""/>
      <w:lvlJc w:val="left"/>
      <w:pPr>
        <w:ind w:left="2100" w:hanging="420"/>
      </w:pPr>
      <w:rPr>
        <w:rFonts w:hint="default" w:ascii="Wingdings" w:hAnsi="Wingdings"/>
      </w:rPr>
    </w:lvl>
    <w:lvl w:ilvl="4" w:tentative="0">
      <w:start w:val="1"/>
      <w:numFmt w:val="bullet"/>
      <w:lvlText w:val=""/>
      <w:lvlJc w:val="left"/>
      <w:pPr>
        <w:ind w:left="2520" w:hanging="420"/>
      </w:pPr>
      <w:rPr>
        <w:rFonts w:hint="default" w:ascii="Wingdings" w:hAnsi="Wingdings"/>
      </w:rPr>
    </w:lvl>
    <w:lvl w:ilvl="5" w:tentative="0">
      <w:start w:val="1"/>
      <w:numFmt w:val="bullet"/>
      <w:lvlText w:val=""/>
      <w:lvlJc w:val="left"/>
      <w:pPr>
        <w:ind w:left="2940" w:hanging="420"/>
      </w:pPr>
      <w:rPr>
        <w:rFonts w:hint="default" w:ascii="Wingdings" w:hAnsi="Wingdings"/>
      </w:rPr>
    </w:lvl>
    <w:lvl w:ilvl="6" w:tentative="0">
      <w:start w:val="1"/>
      <w:numFmt w:val="bullet"/>
      <w:lvlText w:val=""/>
      <w:lvlJc w:val="left"/>
      <w:pPr>
        <w:ind w:left="3360" w:hanging="420"/>
      </w:pPr>
      <w:rPr>
        <w:rFonts w:hint="default" w:ascii="Wingdings" w:hAnsi="Wingdings"/>
      </w:rPr>
    </w:lvl>
    <w:lvl w:ilvl="7" w:tentative="0">
      <w:start w:val="1"/>
      <w:numFmt w:val="bullet"/>
      <w:lvlText w:val=""/>
      <w:lvlJc w:val="left"/>
      <w:pPr>
        <w:ind w:left="3780" w:hanging="420"/>
      </w:pPr>
      <w:rPr>
        <w:rFonts w:hint="default" w:ascii="Wingdings" w:hAnsi="Wingdings"/>
      </w:rPr>
    </w:lvl>
    <w:lvl w:ilvl="8" w:tentative="0">
      <w:start w:val="1"/>
      <w:numFmt w:val="bullet"/>
      <w:lvlText w:val=""/>
      <w:lvlJc w:val="left"/>
      <w:pPr>
        <w:ind w:left="4200" w:hanging="420"/>
      </w:pPr>
      <w:rPr>
        <w:rFonts w:hint="default" w:ascii="Wingdings" w:hAnsi="Wingdings"/>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EwMDkyNTZjMzMwNGNiNWI4YzBkN2FjZjU1MzgyMDgifQ=="/>
  </w:docVars>
  <w:rsids>
    <w:rsidRoot w:val="004B1CF2"/>
    <w:rsid w:val="0000032B"/>
    <w:rsid w:val="0001153F"/>
    <w:rsid w:val="00015559"/>
    <w:rsid w:val="00021674"/>
    <w:rsid w:val="0003171D"/>
    <w:rsid w:val="000377FA"/>
    <w:rsid w:val="0004014F"/>
    <w:rsid w:val="000514F9"/>
    <w:rsid w:val="00084F33"/>
    <w:rsid w:val="000A3C9A"/>
    <w:rsid w:val="000B5B87"/>
    <w:rsid w:val="000C036B"/>
    <w:rsid w:val="000C1EBF"/>
    <w:rsid w:val="000C636E"/>
    <w:rsid w:val="000D5160"/>
    <w:rsid w:val="000E374D"/>
    <w:rsid w:val="000E5928"/>
    <w:rsid w:val="000F7DB8"/>
    <w:rsid w:val="001044FC"/>
    <w:rsid w:val="00115DE0"/>
    <w:rsid w:val="00125EB5"/>
    <w:rsid w:val="00130C67"/>
    <w:rsid w:val="00141A30"/>
    <w:rsid w:val="0014235B"/>
    <w:rsid w:val="001449C0"/>
    <w:rsid w:val="00163205"/>
    <w:rsid w:val="00165F80"/>
    <w:rsid w:val="00167B35"/>
    <w:rsid w:val="0017347A"/>
    <w:rsid w:val="00184711"/>
    <w:rsid w:val="001A6F91"/>
    <w:rsid w:val="001D1578"/>
    <w:rsid w:val="001D1E21"/>
    <w:rsid w:val="001E528D"/>
    <w:rsid w:val="001F698F"/>
    <w:rsid w:val="00203BD0"/>
    <w:rsid w:val="00236894"/>
    <w:rsid w:val="002442A3"/>
    <w:rsid w:val="00245594"/>
    <w:rsid w:val="00251C73"/>
    <w:rsid w:val="0025726D"/>
    <w:rsid w:val="0025795B"/>
    <w:rsid w:val="0027220C"/>
    <w:rsid w:val="002808AB"/>
    <w:rsid w:val="00284CD2"/>
    <w:rsid w:val="00294FF0"/>
    <w:rsid w:val="00295E92"/>
    <w:rsid w:val="002B7CCB"/>
    <w:rsid w:val="002C71E7"/>
    <w:rsid w:val="002D2369"/>
    <w:rsid w:val="002F74DC"/>
    <w:rsid w:val="0030458F"/>
    <w:rsid w:val="00324EB8"/>
    <w:rsid w:val="003276DC"/>
    <w:rsid w:val="0037324C"/>
    <w:rsid w:val="00373349"/>
    <w:rsid w:val="00375CF7"/>
    <w:rsid w:val="003870CC"/>
    <w:rsid w:val="0039298D"/>
    <w:rsid w:val="003B5345"/>
    <w:rsid w:val="003C607D"/>
    <w:rsid w:val="003D0C3B"/>
    <w:rsid w:val="003D3FFF"/>
    <w:rsid w:val="003E355B"/>
    <w:rsid w:val="003F1B67"/>
    <w:rsid w:val="00407F53"/>
    <w:rsid w:val="00410932"/>
    <w:rsid w:val="0041130A"/>
    <w:rsid w:val="0041720E"/>
    <w:rsid w:val="004502F4"/>
    <w:rsid w:val="00460CB4"/>
    <w:rsid w:val="00463844"/>
    <w:rsid w:val="004643CF"/>
    <w:rsid w:val="00472D80"/>
    <w:rsid w:val="00496E8A"/>
    <w:rsid w:val="004B1CF2"/>
    <w:rsid w:val="004C27B9"/>
    <w:rsid w:val="004C3DB4"/>
    <w:rsid w:val="004E363D"/>
    <w:rsid w:val="004E718D"/>
    <w:rsid w:val="004F1ED6"/>
    <w:rsid w:val="004F1F15"/>
    <w:rsid w:val="0054311D"/>
    <w:rsid w:val="0056118D"/>
    <w:rsid w:val="005712CB"/>
    <w:rsid w:val="00577CBB"/>
    <w:rsid w:val="005B4F18"/>
    <w:rsid w:val="005C3668"/>
    <w:rsid w:val="005D4ACB"/>
    <w:rsid w:val="00600AB1"/>
    <w:rsid w:val="006125A1"/>
    <w:rsid w:val="00615D49"/>
    <w:rsid w:val="006412D7"/>
    <w:rsid w:val="00651610"/>
    <w:rsid w:val="00662769"/>
    <w:rsid w:val="00683AED"/>
    <w:rsid w:val="00695D72"/>
    <w:rsid w:val="006B29CA"/>
    <w:rsid w:val="006B2B65"/>
    <w:rsid w:val="006D6C41"/>
    <w:rsid w:val="007001F0"/>
    <w:rsid w:val="007014FC"/>
    <w:rsid w:val="007303E2"/>
    <w:rsid w:val="00755E14"/>
    <w:rsid w:val="007564B5"/>
    <w:rsid w:val="007648C4"/>
    <w:rsid w:val="00766EEB"/>
    <w:rsid w:val="0077105B"/>
    <w:rsid w:val="00772A33"/>
    <w:rsid w:val="007B04E1"/>
    <w:rsid w:val="007C7BAF"/>
    <w:rsid w:val="007E2563"/>
    <w:rsid w:val="00802A0A"/>
    <w:rsid w:val="008368D8"/>
    <w:rsid w:val="00887DA0"/>
    <w:rsid w:val="00893296"/>
    <w:rsid w:val="008935D4"/>
    <w:rsid w:val="008A3CA8"/>
    <w:rsid w:val="008C55C0"/>
    <w:rsid w:val="008E57CC"/>
    <w:rsid w:val="008F17F4"/>
    <w:rsid w:val="008F5155"/>
    <w:rsid w:val="008F6AB5"/>
    <w:rsid w:val="00933FA5"/>
    <w:rsid w:val="00934104"/>
    <w:rsid w:val="00942629"/>
    <w:rsid w:val="0095160F"/>
    <w:rsid w:val="00955A3F"/>
    <w:rsid w:val="00960430"/>
    <w:rsid w:val="00967AA4"/>
    <w:rsid w:val="00983758"/>
    <w:rsid w:val="009D2B30"/>
    <w:rsid w:val="00A05A16"/>
    <w:rsid w:val="00A10EF8"/>
    <w:rsid w:val="00A267F9"/>
    <w:rsid w:val="00A41870"/>
    <w:rsid w:val="00A71C3F"/>
    <w:rsid w:val="00A72B4C"/>
    <w:rsid w:val="00A7472E"/>
    <w:rsid w:val="00A842DF"/>
    <w:rsid w:val="00AA10D4"/>
    <w:rsid w:val="00AB2664"/>
    <w:rsid w:val="00AC7ABF"/>
    <w:rsid w:val="00AD3A42"/>
    <w:rsid w:val="00AE23F2"/>
    <w:rsid w:val="00AF228F"/>
    <w:rsid w:val="00B07E79"/>
    <w:rsid w:val="00B31A8D"/>
    <w:rsid w:val="00B36025"/>
    <w:rsid w:val="00B37855"/>
    <w:rsid w:val="00B4546E"/>
    <w:rsid w:val="00B52013"/>
    <w:rsid w:val="00B834BA"/>
    <w:rsid w:val="00B84C52"/>
    <w:rsid w:val="00B87AB6"/>
    <w:rsid w:val="00B91788"/>
    <w:rsid w:val="00B91EEA"/>
    <w:rsid w:val="00B96412"/>
    <w:rsid w:val="00BB0AE6"/>
    <w:rsid w:val="00BB5C59"/>
    <w:rsid w:val="00BB5F62"/>
    <w:rsid w:val="00BC7D27"/>
    <w:rsid w:val="00BD6BEA"/>
    <w:rsid w:val="00BE73EE"/>
    <w:rsid w:val="00BF68F7"/>
    <w:rsid w:val="00C01D90"/>
    <w:rsid w:val="00C14435"/>
    <w:rsid w:val="00C61F2F"/>
    <w:rsid w:val="00C71DAA"/>
    <w:rsid w:val="00C77455"/>
    <w:rsid w:val="00CA4B90"/>
    <w:rsid w:val="00CA7BF4"/>
    <w:rsid w:val="00CC65AD"/>
    <w:rsid w:val="00CD2A4D"/>
    <w:rsid w:val="00CD5891"/>
    <w:rsid w:val="00CD6EAB"/>
    <w:rsid w:val="00CE280D"/>
    <w:rsid w:val="00CF2676"/>
    <w:rsid w:val="00CF42BE"/>
    <w:rsid w:val="00CF788C"/>
    <w:rsid w:val="00D022D8"/>
    <w:rsid w:val="00D04CBB"/>
    <w:rsid w:val="00D149D6"/>
    <w:rsid w:val="00D21B8D"/>
    <w:rsid w:val="00D23FBF"/>
    <w:rsid w:val="00D26D15"/>
    <w:rsid w:val="00D45281"/>
    <w:rsid w:val="00D53DC4"/>
    <w:rsid w:val="00D564BF"/>
    <w:rsid w:val="00D67760"/>
    <w:rsid w:val="00D75E52"/>
    <w:rsid w:val="00D77022"/>
    <w:rsid w:val="00D86A2F"/>
    <w:rsid w:val="00D90BC6"/>
    <w:rsid w:val="00DB401E"/>
    <w:rsid w:val="00DB51ED"/>
    <w:rsid w:val="00DC0BBB"/>
    <w:rsid w:val="00DC74FC"/>
    <w:rsid w:val="00DD1CD7"/>
    <w:rsid w:val="00E003D0"/>
    <w:rsid w:val="00E025CD"/>
    <w:rsid w:val="00E05034"/>
    <w:rsid w:val="00E220DE"/>
    <w:rsid w:val="00E36C90"/>
    <w:rsid w:val="00E43FEF"/>
    <w:rsid w:val="00E47FA6"/>
    <w:rsid w:val="00E62B69"/>
    <w:rsid w:val="00E74755"/>
    <w:rsid w:val="00E77D37"/>
    <w:rsid w:val="00E9529E"/>
    <w:rsid w:val="00E96761"/>
    <w:rsid w:val="00EA6444"/>
    <w:rsid w:val="00EB7FBA"/>
    <w:rsid w:val="00ED5419"/>
    <w:rsid w:val="00EE1B03"/>
    <w:rsid w:val="00EE6060"/>
    <w:rsid w:val="00EF0689"/>
    <w:rsid w:val="00EF67AA"/>
    <w:rsid w:val="00F03FA2"/>
    <w:rsid w:val="00F168FB"/>
    <w:rsid w:val="00F21312"/>
    <w:rsid w:val="00F23D77"/>
    <w:rsid w:val="00F25299"/>
    <w:rsid w:val="00F642E6"/>
    <w:rsid w:val="00FA5496"/>
    <w:rsid w:val="00FB56C5"/>
    <w:rsid w:val="00FB79DD"/>
    <w:rsid w:val="00FE2C34"/>
    <w:rsid w:val="00FE4FBE"/>
    <w:rsid w:val="00FE5ACA"/>
    <w:rsid w:val="02791BE4"/>
    <w:rsid w:val="06353A02"/>
    <w:rsid w:val="0B566A02"/>
    <w:rsid w:val="0C0B7367"/>
    <w:rsid w:val="0C1562F3"/>
    <w:rsid w:val="0D12542B"/>
    <w:rsid w:val="0E7616B1"/>
    <w:rsid w:val="0EE131DC"/>
    <w:rsid w:val="0F2E3CA4"/>
    <w:rsid w:val="0F4308CC"/>
    <w:rsid w:val="0FFD54BA"/>
    <w:rsid w:val="13B660AC"/>
    <w:rsid w:val="15243997"/>
    <w:rsid w:val="15286579"/>
    <w:rsid w:val="158C0774"/>
    <w:rsid w:val="164B51D1"/>
    <w:rsid w:val="17215F32"/>
    <w:rsid w:val="1B8F5B60"/>
    <w:rsid w:val="1C79274E"/>
    <w:rsid w:val="1E324D9F"/>
    <w:rsid w:val="203211B0"/>
    <w:rsid w:val="20515E50"/>
    <w:rsid w:val="219B0D05"/>
    <w:rsid w:val="22101037"/>
    <w:rsid w:val="24E94533"/>
    <w:rsid w:val="24FD1978"/>
    <w:rsid w:val="270D0F81"/>
    <w:rsid w:val="271F0C80"/>
    <w:rsid w:val="28170B48"/>
    <w:rsid w:val="28703B89"/>
    <w:rsid w:val="28F72F97"/>
    <w:rsid w:val="2BDA4BD6"/>
    <w:rsid w:val="2F577230"/>
    <w:rsid w:val="2F725F50"/>
    <w:rsid w:val="30766E97"/>
    <w:rsid w:val="30A26868"/>
    <w:rsid w:val="35E61EEA"/>
    <w:rsid w:val="35EA010B"/>
    <w:rsid w:val="38CF35E8"/>
    <w:rsid w:val="39FD5F33"/>
    <w:rsid w:val="3A1A34E1"/>
    <w:rsid w:val="3B4756B8"/>
    <w:rsid w:val="3EF06066"/>
    <w:rsid w:val="4605689B"/>
    <w:rsid w:val="486D2AEF"/>
    <w:rsid w:val="49A94CF2"/>
    <w:rsid w:val="4CD76AB1"/>
    <w:rsid w:val="4DD54DA5"/>
    <w:rsid w:val="4E3C3076"/>
    <w:rsid w:val="4E720846"/>
    <w:rsid w:val="50722D10"/>
    <w:rsid w:val="52B44D4C"/>
    <w:rsid w:val="53642E53"/>
    <w:rsid w:val="53852B98"/>
    <w:rsid w:val="547E7F44"/>
    <w:rsid w:val="559A4BA8"/>
    <w:rsid w:val="5654152B"/>
    <w:rsid w:val="57725D95"/>
    <w:rsid w:val="591B4EBF"/>
    <w:rsid w:val="59232E69"/>
    <w:rsid w:val="5AA4622B"/>
    <w:rsid w:val="5B8A3673"/>
    <w:rsid w:val="5B9462A0"/>
    <w:rsid w:val="5D155B01"/>
    <w:rsid w:val="5D391372"/>
    <w:rsid w:val="5EBA426F"/>
    <w:rsid w:val="5F922AF6"/>
    <w:rsid w:val="611D0AE5"/>
    <w:rsid w:val="615F10FE"/>
    <w:rsid w:val="622B1165"/>
    <w:rsid w:val="62E55633"/>
    <w:rsid w:val="632C76F8"/>
    <w:rsid w:val="65300234"/>
    <w:rsid w:val="66791DFB"/>
    <w:rsid w:val="67F87BB6"/>
    <w:rsid w:val="689C49E5"/>
    <w:rsid w:val="694C1F68"/>
    <w:rsid w:val="69FC398E"/>
    <w:rsid w:val="6B193A43"/>
    <w:rsid w:val="6B8F3542"/>
    <w:rsid w:val="6BD6020E"/>
    <w:rsid w:val="6BE04BE9"/>
    <w:rsid w:val="6C292A66"/>
    <w:rsid w:val="6C4B6506"/>
    <w:rsid w:val="6C752CCF"/>
    <w:rsid w:val="6E1F2E49"/>
    <w:rsid w:val="6F2230AE"/>
    <w:rsid w:val="71327C95"/>
    <w:rsid w:val="71BC3A02"/>
    <w:rsid w:val="788C57FC"/>
    <w:rsid w:val="79181E66"/>
    <w:rsid w:val="7BE41891"/>
    <w:rsid w:val="7F5D21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2"/>
    <w:semiHidden/>
    <w:unhideWhenUsed/>
    <w:qFormat/>
    <w:uiPriority w:val="99"/>
    <w:rPr>
      <w:sz w:val="18"/>
      <w:szCs w:val="18"/>
    </w:rPr>
  </w:style>
  <w:style w:type="paragraph" w:styleId="3">
    <w:name w:val="footer"/>
    <w:basedOn w:val="1"/>
    <w:link w:val="11"/>
    <w:unhideWhenUsed/>
    <w:qFormat/>
    <w:uiPriority w:val="99"/>
    <w:pPr>
      <w:tabs>
        <w:tab w:val="center" w:pos="4153"/>
        <w:tab w:val="right" w:pos="8306"/>
      </w:tabs>
      <w:snapToGrid w:val="0"/>
      <w:jc w:val="left"/>
    </w:pPr>
    <w:rPr>
      <w:sz w:val="18"/>
      <w:szCs w:val="18"/>
    </w:rPr>
  </w:style>
  <w:style w:type="paragraph" w:styleId="4">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7">
    <w:name w:val="Table Grid"/>
    <w:basedOn w:val="6"/>
    <w:semiHidden/>
    <w:unhideWhenUsed/>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9">
    <w:name w:val="List Paragraph"/>
    <w:basedOn w:val="1"/>
    <w:qFormat/>
    <w:uiPriority w:val="34"/>
    <w:pPr>
      <w:ind w:firstLine="420" w:firstLineChars="200"/>
    </w:pPr>
  </w:style>
  <w:style w:type="character" w:customStyle="1" w:styleId="10">
    <w:name w:val="页眉 字符"/>
    <w:basedOn w:val="8"/>
    <w:link w:val="4"/>
    <w:qFormat/>
    <w:uiPriority w:val="99"/>
    <w:rPr>
      <w:rFonts w:ascii="Times New Roman" w:hAnsi="Times New Roman" w:eastAsia="宋体" w:cs="Times New Roman"/>
      <w:sz w:val="18"/>
      <w:szCs w:val="18"/>
    </w:rPr>
  </w:style>
  <w:style w:type="character" w:customStyle="1" w:styleId="11">
    <w:name w:val="页脚 字符"/>
    <w:basedOn w:val="8"/>
    <w:link w:val="3"/>
    <w:qFormat/>
    <w:uiPriority w:val="99"/>
    <w:rPr>
      <w:rFonts w:ascii="Times New Roman" w:hAnsi="Times New Roman" w:eastAsia="宋体" w:cs="Times New Roman"/>
      <w:sz w:val="18"/>
      <w:szCs w:val="18"/>
    </w:rPr>
  </w:style>
  <w:style w:type="character" w:customStyle="1" w:styleId="12">
    <w:name w:val="批注框文本 字符"/>
    <w:basedOn w:val="8"/>
    <w:link w:val="2"/>
    <w:semiHidden/>
    <w:qFormat/>
    <w:uiPriority w:val="99"/>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2139</Words>
  <Characters>2574</Characters>
  <Lines>20</Lines>
  <Paragraphs>5</Paragraphs>
  <TotalTime>86</TotalTime>
  <ScaleCrop>false</ScaleCrop>
  <LinksUpToDate>false</LinksUpToDate>
  <CharactersWithSpaces>2640</CharactersWithSpaces>
  <Application>WPS Office_12.1.0.18345_F1E327BC-269C-435d-A152-05C5408002CA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2019-11-29T01:28:00Z</dcterms:created>
  <dc:creator>李锐</dc:creator>
  <cp:lastModifiedBy>泵怀腥心缆</cp:lastModifiedBy>
  <cp:lastPrinted>2024-10-31T05:47:00Z</cp:lastPrinted>
  <dcterms:modified xsi:type="dcterms:W3CDTF">2024-11-01T02:04:25Z</dcterms:modified>
  <cp:revision>69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2052-12.1.0.18345</vt:lpwstr>
  </property>
  <property fmtid="{D5CDD505-2E9C-101B-9397-08002B2CF9AE}" pid="3" name="ICV">
    <vt:lpwstr>99DEEAD09AA1447EBA761D815744AEAE_13</vt:lpwstr>
  </property>
</Properties>
</file>