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F383B">
      <w:pPr>
        <w:spacing w:line="360" w:lineRule="auto"/>
        <w:ind w:right="-153" w:rightChars="-73"/>
        <w:jc w:val="center"/>
        <w:rPr>
          <w:rFonts w:hint="default" w:ascii="黑体" w:hAnsi="宋体" w:eastAsia="宋体"/>
          <w:b/>
          <w:bCs/>
          <w:color w:val="FF0000"/>
          <w:sz w:val="32"/>
          <w:lang w:val="en-US" w:eastAsia="zh-CN"/>
        </w:rPr>
      </w:pPr>
      <w:r>
        <w:rPr>
          <w:rFonts w:hint="eastAsia" w:ascii="宋体" w:hAnsi="宋体" w:cs="宋体"/>
          <w:color w:val="000000"/>
          <w:kern w:val="0"/>
          <w:sz w:val="24"/>
        </w:rPr>
        <w:t>证券代码：600200         证券简称：江苏吴中      公告编号：临</w:t>
      </w:r>
      <w:r>
        <w:rPr>
          <w:rFonts w:hint="eastAsia" w:ascii="宋体" w:hAnsi="宋体" w:cs="宋体"/>
          <w:color w:val="000000"/>
          <w:kern w:val="0"/>
          <w:sz w:val="24"/>
          <w:lang w:val="en-US" w:eastAsia="zh-CN"/>
        </w:rPr>
        <w:t>202</w:t>
      </w:r>
      <w:r>
        <w:rPr>
          <w:rFonts w:hint="eastAsia" w:ascii="宋体" w:hAnsi="宋体" w:cs="宋体"/>
          <w:color w:val="000000"/>
          <w:kern w:val="0"/>
          <w:sz w:val="24"/>
          <w:highlight w:val="none"/>
          <w:lang w:val="en-US" w:eastAsia="zh-CN"/>
        </w:rPr>
        <w:t>4</w:t>
      </w:r>
      <w:r>
        <w:rPr>
          <w:rFonts w:hint="eastAsia" w:ascii="宋体" w:hAnsi="宋体" w:cs="宋体"/>
          <w:color w:val="000000"/>
          <w:kern w:val="0"/>
          <w:sz w:val="24"/>
          <w:highlight w:val="none"/>
        </w:rPr>
        <w:t>-</w:t>
      </w:r>
      <w:r>
        <w:rPr>
          <w:rFonts w:hint="eastAsia" w:ascii="宋体" w:hAnsi="宋体" w:cs="宋体"/>
          <w:color w:val="000000"/>
          <w:kern w:val="0"/>
          <w:sz w:val="24"/>
          <w:highlight w:val="none"/>
          <w:lang w:val="en-US" w:eastAsia="zh-CN"/>
        </w:rPr>
        <w:t>076</w:t>
      </w:r>
    </w:p>
    <w:p w14:paraId="5D44FCE6">
      <w:pPr>
        <w:spacing w:line="360" w:lineRule="auto"/>
        <w:ind w:right="-153" w:rightChars="-73"/>
        <w:jc w:val="center"/>
        <w:rPr>
          <w:rFonts w:ascii="黑体" w:hAnsi="宋体" w:eastAsia="黑体"/>
          <w:b/>
          <w:bCs/>
          <w:color w:val="FF0000"/>
          <w:sz w:val="32"/>
        </w:rPr>
      </w:pPr>
    </w:p>
    <w:p w14:paraId="7FF71B9B">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14:paraId="070A8D00">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关于续聘会计师事务所的公告</w:t>
      </w:r>
    </w:p>
    <w:p w14:paraId="45718E1F">
      <w:pPr>
        <w:autoSpaceDE w:val="0"/>
        <w:autoSpaceDN w:val="0"/>
        <w:adjustRightInd w:val="0"/>
        <w:spacing w:line="360" w:lineRule="auto"/>
        <w:ind w:firstLine="482" w:firstLineChars="200"/>
        <w:rPr>
          <w:rFonts w:hint="eastAsia" w:ascii="ˎ̥" w:hAnsi="ˎ̥"/>
          <w:b/>
          <w:sz w:val="24"/>
        </w:rPr>
      </w:pPr>
    </w:p>
    <w:p w14:paraId="160563F3">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14:paraId="32963E47">
      <w:pPr>
        <w:pStyle w:val="8"/>
        <w:spacing w:line="360" w:lineRule="auto"/>
      </w:pPr>
    </w:p>
    <w:p w14:paraId="38BC5A63">
      <w:pPr>
        <w:adjustRightInd w:val="0"/>
        <w:snapToGrid w:val="0"/>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重要内容提示：</w:t>
      </w:r>
    </w:p>
    <w:p w14:paraId="2BFA3824">
      <w:pPr>
        <w:numPr>
          <w:ilvl w:val="0"/>
          <w:numId w:val="1"/>
        </w:numPr>
        <w:adjustRightInd w:val="0"/>
        <w:snapToGrid w:val="0"/>
        <w:spacing w:line="360" w:lineRule="auto"/>
        <w:ind w:left="0" w:firstLine="480" w:firstLineChars="200"/>
        <w:rPr>
          <w:rFonts w:asciiTheme="minorEastAsia" w:hAnsiTheme="minorEastAsia" w:eastAsiaTheme="minorEastAsia"/>
          <w:sz w:val="24"/>
        </w:rPr>
      </w:pPr>
      <w:r>
        <w:rPr>
          <w:rFonts w:hint="eastAsia" w:asciiTheme="minorEastAsia" w:hAnsiTheme="minorEastAsia" w:eastAsiaTheme="minorEastAsia"/>
          <w:sz w:val="24"/>
        </w:rPr>
        <w:t>拟续聘的会计师事务所名称：</w:t>
      </w:r>
      <w:r>
        <w:rPr>
          <w:rFonts w:hint="eastAsia" w:asciiTheme="minorEastAsia" w:hAnsiTheme="minorEastAsia" w:eastAsiaTheme="minorEastAsia" w:cstheme="minorEastAsia"/>
          <w:sz w:val="24"/>
        </w:rPr>
        <w:t>中兴财光华会计师事务所（特殊普通合伙）</w:t>
      </w:r>
    </w:p>
    <w:p w14:paraId="2390CE3C">
      <w:pPr>
        <w:spacing w:line="360" w:lineRule="auto"/>
        <w:ind w:firstLine="540"/>
        <w:rPr>
          <w:rFonts w:ascii="宋体" w:hAnsi="宋体"/>
          <w:sz w:val="24"/>
        </w:rPr>
      </w:pPr>
    </w:p>
    <w:p w14:paraId="30CE4495">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江苏吴中医药发展股份有限公司（以下简称“公司”、“本公司”或“江苏吴中”）于202</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年</w:t>
      </w:r>
      <w:r>
        <w:rPr>
          <w:rFonts w:hint="eastAsia" w:asciiTheme="minorEastAsia" w:hAnsiTheme="minorEastAsia" w:eastAsiaTheme="minorEastAsia"/>
          <w:sz w:val="24"/>
          <w:lang w:val="en-US" w:eastAsia="zh-CN"/>
        </w:rPr>
        <w:t>11</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日召开第十一届董事会2024年第三次临时会议（通讯表决），审议通过了《江苏吴中医药发展股份有限公司关于续聘会计师事务所的议案》，同意续聘</w:t>
      </w:r>
      <w:r>
        <w:rPr>
          <w:rFonts w:hint="eastAsia" w:asciiTheme="minorEastAsia" w:hAnsiTheme="minorEastAsia" w:eastAsiaTheme="minorEastAsia" w:cstheme="minorEastAsia"/>
          <w:sz w:val="24"/>
        </w:rPr>
        <w:t>中兴财光华会计师事务所（特殊普通合伙）</w:t>
      </w:r>
      <w:r>
        <w:rPr>
          <w:rFonts w:hint="eastAsia" w:asciiTheme="minorEastAsia" w:hAnsiTheme="minorEastAsia" w:eastAsiaTheme="minorEastAsia"/>
          <w:sz w:val="24"/>
        </w:rPr>
        <w:t>（以下简称“</w:t>
      </w:r>
      <w:r>
        <w:rPr>
          <w:rFonts w:hint="eastAsia" w:asciiTheme="minorEastAsia" w:hAnsiTheme="minorEastAsia" w:eastAsiaTheme="minorEastAsia" w:cstheme="minorEastAsia"/>
          <w:sz w:val="24"/>
        </w:rPr>
        <w:t>中兴财光华</w:t>
      </w:r>
      <w:r>
        <w:rPr>
          <w:rFonts w:hint="eastAsia" w:asciiTheme="minorEastAsia" w:hAnsiTheme="minorEastAsia" w:eastAsiaTheme="minorEastAsia"/>
          <w:sz w:val="24"/>
        </w:rPr>
        <w:t>”）作为本公司202</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年度财务报告及内部控制审计机构，聘期一年。具体情况公告如下：</w:t>
      </w:r>
    </w:p>
    <w:p w14:paraId="7E6E57FB">
      <w:pPr>
        <w:spacing w:line="360" w:lineRule="auto"/>
        <w:ind w:firstLine="540"/>
        <w:rPr>
          <w:rFonts w:asciiTheme="minorEastAsia" w:hAnsiTheme="minorEastAsia" w:eastAsiaTheme="minorEastAsia"/>
          <w:sz w:val="24"/>
        </w:rPr>
      </w:pPr>
    </w:p>
    <w:p w14:paraId="33DEF239">
      <w:pPr>
        <w:spacing w:line="360" w:lineRule="auto"/>
        <w:ind w:firstLine="540"/>
        <w:rPr>
          <w:rFonts w:asciiTheme="minorEastAsia" w:hAnsiTheme="minorEastAsia" w:eastAsiaTheme="minorEastAsia"/>
          <w:b/>
          <w:sz w:val="24"/>
        </w:rPr>
      </w:pPr>
      <w:r>
        <w:rPr>
          <w:rFonts w:hint="eastAsia" w:asciiTheme="minorEastAsia" w:hAnsiTheme="minorEastAsia" w:eastAsiaTheme="minorEastAsia"/>
          <w:b/>
          <w:sz w:val="24"/>
        </w:rPr>
        <w:t>一、拟聘任会计师事务所的基本情况</w:t>
      </w:r>
    </w:p>
    <w:p w14:paraId="15D5B539">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（一）机构信息</w:t>
      </w:r>
    </w:p>
    <w:p w14:paraId="69DE699C">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1、基本信息</w:t>
      </w:r>
    </w:p>
    <w:p w14:paraId="3E3AD7D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中兴财光华会计师事务所（特殊普通合伙）成立于1999年1月，2013年11月转制为特殊普通合伙。</w:t>
      </w:r>
    </w:p>
    <w:p w14:paraId="57E512D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注册地：北京市西城区阜成门外大街2号万通金融中心A座24层</w:t>
      </w:r>
    </w:p>
    <w:p w14:paraId="32ADD178">
      <w:pPr>
        <w:spacing w:line="360" w:lineRule="auto"/>
        <w:ind w:firstLine="480" w:firstLineChars="200"/>
        <w:rPr>
          <w:rFonts w:asciiTheme="minorEastAsia" w:hAnsiTheme="minorEastAsia" w:eastAsiaTheme="minorEastAsia"/>
          <w:sz w:val="24"/>
          <w:highlight w:val="yellow"/>
        </w:rPr>
      </w:pPr>
      <w:r>
        <w:rPr>
          <w:rFonts w:hint="eastAsia" w:asciiTheme="minorEastAsia" w:hAnsiTheme="minorEastAsia" w:eastAsiaTheme="minorEastAsia"/>
          <w:sz w:val="24"/>
        </w:rPr>
        <w:t>首席合伙人：姚庚春。</w:t>
      </w:r>
    </w:p>
    <w:p w14:paraId="3EFBCA95">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事务所名称：中兴财光华会计师事务所（特殊普通合伙）</w:t>
      </w:r>
    </w:p>
    <w:p w14:paraId="407CB80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成立日期：1999年1月</w:t>
      </w:r>
    </w:p>
    <w:p w14:paraId="37512C77">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组织形式：特殊普通合伙</w:t>
      </w:r>
    </w:p>
    <w:p w14:paraId="5B46F942">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注册地址：北京市西城区阜成门外大街2号万通金融中心A座24层</w:t>
      </w:r>
    </w:p>
    <w:p w14:paraId="1B57D029">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2、人员信息</w:t>
      </w:r>
    </w:p>
    <w:p w14:paraId="334F028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首席合伙人：姚庚春</w:t>
      </w:r>
    </w:p>
    <w:p w14:paraId="073D00E5">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上年度末（202</w:t>
      </w:r>
      <w:r>
        <w:rPr>
          <w:rFonts w:hint="eastAsia" w:asciiTheme="minorEastAsia" w:hAnsiTheme="minorEastAsia" w:eastAsiaTheme="minorEastAsia"/>
          <w:sz w:val="24"/>
          <w:lang w:val="en-US" w:eastAsia="zh-CN"/>
        </w:rPr>
        <w:t>3</w:t>
      </w:r>
      <w:r>
        <w:rPr>
          <w:rFonts w:hint="eastAsia" w:asciiTheme="minorEastAsia" w:hAnsiTheme="minorEastAsia" w:eastAsiaTheme="minorEastAsia"/>
          <w:sz w:val="24"/>
        </w:rPr>
        <w:t>年12月31日）合伙人数量：</w:t>
      </w:r>
      <w:r>
        <w:rPr>
          <w:rFonts w:hint="eastAsia" w:asciiTheme="minorEastAsia" w:hAnsiTheme="minorEastAsia" w:eastAsiaTheme="minorEastAsia"/>
          <w:sz w:val="24"/>
          <w:lang w:val="en-US" w:eastAsia="zh-CN"/>
        </w:rPr>
        <w:t>183</w:t>
      </w:r>
      <w:r>
        <w:rPr>
          <w:rFonts w:hint="eastAsia" w:asciiTheme="minorEastAsia" w:hAnsiTheme="minorEastAsia" w:eastAsiaTheme="minorEastAsia"/>
          <w:sz w:val="24"/>
        </w:rPr>
        <w:t>人</w:t>
      </w:r>
    </w:p>
    <w:p w14:paraId="407AFECA">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上年度末注册会计师人数：8</w:t>
      </w:r>
      <w:r>
        <w:rPr>
          <w:rFonts w:hint="eastAsia" w:asciiTheme="minorEastAsia" w:hAnsiTheme="minorEastAsia" w:eastAsiaTheme="minorEastAsia"/>
          <w:sz w:val="24"/>
          <w:lang w:val="en-US" w:eastAsia="zh-CN"/>
        </w:rPr>
        <w:t>24</w:t>
      </w:r>
      <w:r>
        <w:rPr>
          <w:rFonts w:hint="eastAsia" w:asciiTheme="minorEastAsia" w:hAnsiTheme="minorEastAsia" w:eastAsiaTheme="minorEastAsia"/>
          <w:sz w:val="24"/>
        </w:rPr>
        <w:t>人</w:t>
      </w:r>
    </w:p>
    <w:p w14:paraId="0239AB1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上年度末签署过证券服务业务审计报告的注册会计师人数：3</w:t>
      </w:r>
      <w:r>
        <w:rPr>
          <w:rFonts w:hint="eastAsia" w:asciiTheme="minorEastAsia" w:hAnsiTheme="minorEastAsia" w:eastAsiaTheme="minorEastAsia"/>
          <w:sz w:val="24"/>
          <w:lang w:val="en-US" w:eastAsia="zh-CN"/>
        </w:rPr>
        <w:t>59</w:t>
      </w:r>
      <w:r>
        <w:rPr>
          <w:rFonts w:hint="eastAsia" w:asciiTheme="minorEastAsia" w:hAnsiTheme="minorEastAsia" w:eastAsiaTheme="minorEastAsia"/>
          <w:sz w:val="24"/>
        </w:rPr>
        <w:t>人</w:t>
      </w:r>
    </w:p>
    <w:p w14:paraId="63244E0E">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上年度末从业人员：309</w:t>
      </w:r>
      <w:r>
        <w:rPr>
          <w:rFonts w:hint="eastAsia" w:asciiTheme="minorEastAsia" w:hAnsiTheme="minorEastAsia" w:eastAsiaTheme="minorEastAsia"/>
          <w:sz w:val="24"/>
          <w:lang w:val="en-US" w:eastAsia="zh-CN"/>
        </w:rPr>
        <w:t>1</w:t>
      </w:r>
      <w:r>
        <w:rPr>
          <w:rFonts w:hint="eastAsia" w:asciiTheme="minorEastAsia" w:hAnsiTheme="minorEastAsia" w:eastAsiaTheme="minorEastAsia"/>
          <w:sz w:val="24"/>
        </w:rPr>
        <w:t>人</w:t>
      </w:r>
    </w:p>
    <w:p w14:paraId="6FA666E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3、业务规模</w:t>
      </w:r>
    </w:p>
    <w:p w14:paraId="016CCADA">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2023年事务所业务收入110,263.59万元，其中审计业务收入96,155.71万元，证券业务收入41,152.94万元。</w:t>
      </w:r>
    </w:p>
    <w:p w14:paraId="7D440C5D">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上年度（202</w:t>
      </w:r>
      <w:r>
        <w:rPr>
          <w:rFonts w:hint="eastAsia" w:asciiTheme="minorEastAsia" w:hAnsiTheme="minorEastAsia" w:eastAsiaTheme="minorEastAsia"/>
          <w:sz w:val="24"/>
          <w:lang w:val="en-US" w:eastAsia="zh-CN"/>
        </w:rPr>
        <w:t>2</w:t>
      </w:r>
      <w:r>
        <w:rPr>
          <w:rFonts w:hint="eastAsia" w:asciiTheme="minorEastAsia" w:hAnsiTheme="minorEastAsia" w:eastAsiaTheme="minorEastAsia"/>
          <w:sz w:val="24"/>
        </w:rPr>
        <w:t>年年报）上市公司审计客户家数：</w:t>
      </w:r>
      <w:r>
        <w:rPr>
          <w:rFonts w:hint="eastAsia" w:asciiTheme="minorEastAsia" w:hAnsiTheme="minorEastAsia" w:eastAsiaTheme="minorEastAsia"/>
          <w:sz w:val="24"/>
          <w:lang w:val="en-US" w:eastAsia="zh-CN"/>
        </w:rPr>
        <w:t>91</w:t>
      </w:r>
      <w:r>
        <w:rPr>
          <w:rFonts w:hint="eastAsia" w:asciiTheme="minorEastAsia" w:hAnsiTheme="minorEastAsia" w:eastAsiaTheme="minorEastAsia"/>
          <w:sz w:val="24"/>
        </w:rPr>
        <w:t>家</w:t>
      </w:r>
    </w:p>
    <w:p w14:paraId="56A23962">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上年度上市公司审计客户主要行业：制造业、房地产业、租赁和商务服务业、建筑业、信息传输、软件和信息技术服务业、电力、热力、燃气及水的生产和供应业等</w:t>
      </w:r>
    </w:p>
    <w:p w14:paraId="0C3FDD77">
      <w:pPr>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上年度上市公司审计收费总额</w:t>
      </w:r>
      <w:r>
        <w:rPr>
          <w:rFonts w:asciiTheme="minorEastAsia" w:hAnsiTheme="minorEastAsia" w:eastAsiaTheme="minorEastAsia"/>
          <w:sz w:val="24"/>
          <w:highlight w:val="none"/>
        </w:rPr>
        <w:t>10,133.00</w:t>
      </w:r>
      <w:r>
        <w:rPr>
          <w:rFonts w:hint="eastAsia" w:asciiTheme="minorEastAsia" w:hAnsiTheme="minorEastAsia" w:eastAsiaTheme="minorEastAsia"/>
          <w:sz w:val="24"/>
          <w:highlight w:val="none"/>
        </w:rPr>
        <w:t>万元</w:t>
      </w:r>
    </w:p>
    <w:p w14:paraId="091FC353">
      <w:pPr>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上年度本公司同行业上市公司审计客户家数：5家</w:t>
      </w:r>
    </w:p>
    <w:p w14:paraId="2962D4B1">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4、投资者保护能力</w:t>
      </w:r>
    </w:p>
    <w:p w14:paraId="2D940D60">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在投资者保护能力方面，事务所执行总分所一体化管理，以购买职业保险为主，2023年购买职业责任保险累计赔偿限额为11,600.00万元，职业保险累计赔偿限额和职业风险基金之和20449.05万元。职业保险能够覆盖因审计失败导致的民事赔偿责任，职业风险基金计提或职业保险购买符合相关规定。近三年不存在因在执业行为相关民事诉讼中承担民事责任的情况。</w:t>
      </w:r>
    </w:p>
    <w:p w14:paraId="3C08F454">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5、诚信记录</w:t>
      </w:r>
    </w:p>
    <w:p w14:paraId="5CB2F5BA">
      <w:pPr>
        <w:spacing w:line="360" w:lineRule="auto"/>
        <w:ind w:firstLine="540"/>
        <w:rPr>
          <w:rFonts w:hint="eastAsia" w:asciiTheme="minorEastAsia" w:hAnsiTheme="minorEastAsia" w:eastAsiaTheme="minorEastAsia"/>
          <w:sz w:val="24"/>
        </w:rPr>
      </w:pPr>
      <w:r>
        <w:rPr>
          <w:rFonts w:hint="eastAsia" w:asciiTheme="minorEastAsia" w:hAnsiTheme="minorEastAsia" w:eastAsiaTheme="minorEastAsia"/>
          <w:sz w:val="24"/>
        </w:rPr>
        <w:t>中兴财光华会计师事务所（特殊普通合伙）近三年因执业行为受到刑事处罚0次、行政处罚6次、监督管理措施25次、自律监管措施0次，纪律处分0次。57名从业人员近三年因执业行为受到刑事处罚0次、行政处罚6次、监督管理措施25次、自律监管措施0次，纪律处分0次。</w:t>
      </w:r>
    </w:p>
    <w:p w14:paraId="188AF66B">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（二）项目信息</w:t>
      </w:r>
    </w:p>
    <w:p w14:paraId="6C1C4AEC">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1、基本信息</w:t>
      </w:r>
    </w:p>
    <w:p w14:paraId="01D26EA7">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（1）项目合伙人：</w:t>
      </w:r>
    </w:p>
    <w:p w14:paraId="097329BE">
      <w:pPr>
        <w:spacing w:line="360" w:lineRule="auto"/>
        <w:ind w:firstLine="54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汤洋，2010年成为注册会计师，2014年开始从事上市公司审计，2022年加入中兴财光华，从事证券审计业务。2023年开始为本公司提供审计服务；近三年签署或复核上市公司审计报告8家。</w:t>
      </w:r>
    </w:p>
    <w:p w14:paraId="3E875E43">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（2）质量控制复核人：</w:t>
      </w:r>
    </w:p>
    <w:p w14:paraId="2FC91345">
      <w:pPr>
        <w:spacing w:line="360" w:lineRule="auto"/>
        <w:ind w:firstLine="54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濮舒清，2017年成为注册会计师，2017年开始从事上市公司审计，2015年加入中兴财光华，从事证券审计业务。2024年开始为本公司提供审计服务；近三年签署或复核上市公司审计报告2家。</w:t>
      </w:r>
    </w:p>
    <w:p w14:paraId="56F84698">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（3）拟签字注册会计师：</w:t>
      </w:r>
    </w:p>
    <w:p w14:paraId="3CAE9EBF">
      <w:pPr>
        <w:spacing w:line="360" w:lineRule="auto"/>
        <w:ind w:firstLine="54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汤洋，2010年成为注册会计师，2014年开始从事上市公司审计，2022年加入中兴财光华，从事证券审计业务。2023年开始为本公司提供审计服务；近三年签署或复核上市公司审计报告8家。</w:t>
      </w:r>
    </w:p>
    <w:p w14:paraId="120CD93C">
      <w:pPr>
        <w:spacing w:line="360" w:lineRule="auto"/>
        <w:ind w:firstLine="54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楼佳男，2018年成为注册会计师，2010年开始从事上市公司审计，2022年开始在本所执业，2022年开始为本公司提供审计服务；近三年签署或复核上市公司审计报告2家。</w:t>
      </w:r>
    </w:p>
    <w:p w14:paraId="61E0A216">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2、诚信记录</w:t>
      </w:r>
    </w:p>
    <w:p w14:paraId="7FB92D19">
      <w:pPr>
        <w:spacing w:line="360" w:lineRule="auto"/>
        <w:ind w:firstLine="540"/>
        <w:rPr>
          <w:rFonts w:hint="eastAsia" w:asciiTheme="minorEastAsia" w:hAnsiTheme="minorEastAsia" w:eastAsiaTheme="minorEastAsia"/>
          <w:sz w:val="24"/>
        </w:rPr>
      </w:pPr>
      <w:r>
        <w:rPr>
          <w:rFonts w:hint="eastAsia" w:asciiTheme="minorEastAsia" w:hAnsiTheme="minorEastAsia" w:eastAsiaTheme="minorEastAsia"/>
          <w:sz w:val="24"/>
        </w:rPr>
        <w:t>项目合伙人、签字注册会计师近三年无因执业行为受到刑事处罚，</w:t>
      </w:r>
      <w:r>
        <w:rPr>
          <w:rFonts w:hint="eastAsia" w:asciiTheme="minorEastAsia" w:hAnsiTheme="minorEastAsia" w:eastAsiaTheme="minorEastAsia"/>
          <w:sz w:val="24"/>
          <w:lang w:val="en-US" w:eastAsia="zh-CN"/>
        </w:rPr>
        <w:t>无</w:t>
      </w:r>
      <w:bookmarkStart w:id="0" w:name="_GoBack"/>
      <w:bookmarkEnd w:id="0"/>
      <w:r>
        <w:rPr>
          <w:rFonts w:hint="eastAsia" w:asciiTheme="minorEastAsia" w:hAnsiTheme="minorEastAsia" w:eastAsiaTheme="minorEastAsia"/>
          <w:sz w:val="24"/>
        </w:rPr>
        <w:t>受到证监会及其派出机构、行业主管部门的行政处罚、监督管理措施，无受到证券交易所、行业协会等自律组织的自律监管措施、纪律处分等情况。</w:t>
      </w:r>
    </w:p>
    <w:p w14:paraId="388494B6">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项目质量控制复核人近三年因执业行为受到刑事处罚0次、行政处罚0次、监督管理措施2次、自律监管措施0次，纪律处分0次。</w:t>
      </w:r>
    </w:p>
    <w:p w14:paraId="3EC549B9">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3、独立性</w:t>
      </w:r>
    </w:p>
    <w:p w14:paraId="00334B68">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拟聘任的中兴财光华会计师事务所及项目合伙人、签字注册会计师、项目质量控制复核人等不存在可能影响《中国注册会计师职业道德守则》关于独立性要求的情形。</w:t>
      </w:r>
    </w:p>
    <w:p w14:paraId="7A1E3175">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4、审计收费</w:t>
      </w:r>
    </w:p>
    <w:p w14:paraId="432386FA">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年度审计费用将以202</w:t>
      </w:r>
      <w:r>
        <w:rPr>
          <w:rFonts w:hint="eastAsia" w:asciiTheme="minorEastAsia" w:hAnsiTheme="minorEastAsia" w:eastAsiaTheme="minorEastAsia"/>
          <w:sz w:val="24"/>
          <w:lang w:val="en-US" w:eastAsia="zh-CN"/>
        </w:rPr>
        <w:t>3</w:t>
      </w:r>
      <w:r>
        <w:rPr>
          <w:rFonts w:hint="eastAsia" w:asciiTheme="minorEastAsia" w:hAnsiTheme="minorEastAsia" w:eastAsiaTheme="minorEastAsia"/>
          <w:sz w:val="24"/>
        </w:rPr>
        <w:t>年度审计费用为基础，按照市场公允合理的定价原则以及审计服务的性质、繁简程度等情况，与会计师事务所协商确定，并履行相关决策程序。</w:t>
      </w:r>
    </w:p>
    <w:p w14:paraId="35AAB840">
      <w:pPr>
        <w:spacing w:line="360" w:lineRule="auto"/>
        <w:ind w:firstLine="540"/>
        <w:rPr>
          <w:rFonts w:asciiTheme="minorEastAsia" w:hAnsiTheme="minorEastAsia" w:eastAsiaTheme="minorEastAsia"/>
          <w:sz w:val="24"/>
        </w:rPr>
      </w:pPr>
    </w:p>
    <w:p w14:paraId="091B2DB6">
      <w:pPr>
        <w:spacing w:line="360" w:lineRule="auto"/>
        <w:ind w:firstLine="540"/>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二、拟续聘会计事务所履行的程序</w:t>
      </w:r>
    </w:p>
    <w:p w14:paraId="3D435866">
      <w:pPr>
        <w:spacing w:line="360" w:lineRule="auto"/>
        <w:ind w:firstLine="5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（一）审计委员会的履职情况</w:t>
      </w:r>
    </w:p>
    <w:p w14:paraId="63519F74">
      <w:pPr>
        <w:spacing w:line="360" w:lineRule="auto"/>
        <w:ind w:firstLine="54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公司董事会审计委员会认为</w:t>
      </w:r>
      <w:r>
        <w:rPr>
          <w:rFonts w:hint="eastAsia" w:asciiTheme="minorEastAsia" w:hAnsiTheme="minorEastAsia" w:eastAsiaTheme="minorEastAsia" w:cstheme="minorEastAsia"/>
          <w:sz w:val="24"/>
          <w:highlight w:val="none"/>
        </w:rPr>
        <w:t>中兴财光华</w:t>
      </w:r>
      <w:r>
        <w:rPr>
          <w:rFonts w:hint="eastAsia" w:asciiTheme="minorEastAsia" w:hAnsiTheme="minorEastAsia" w:eastAsiaTheme="minorEastAsia"/>
          <w:sz w:val="24"/>
          <w:highlight w:val="none"/>
        </w:rPr>
        <w:t>会计师事务所所有执行审计业务的人员，在公司审计期间未获取除审计业务约定书约定以外的任何现金及其他任何形式经济利益，会计师事务所及审计成员遵守了职业道德基本原则中关于保持独立性的要求。审计组成人员具有承办本次审计业务所必需的专业知识和相关的任职资格，能够胜任本次审计工作，同时也能保持应有的关注和职业谨慎性。根据其</w:t>
      </w:r>
      <w:r>
        <w:rPr>
          <w:rFonts w:hint="eastAsia" w:asciiTheme="minorEastAsia" w:hAnsiTheme="minorEastAsia" w:eastAsiaTheme="minorEastAsia"/>
          <w:sz w:val="24"/>
          <w:highlight w:val="none"/>
          <w:lang w:val="en-US" w:eastAsia="zh-CN"/>
        </w:rPr>
        <w:t>2023</w:t>
      </w:r>
      <w:r>
        <w:rPr>
          <w:rFonts w:hint="eastAsia" w:asciiTheme="minorEastAsia" w:hAnsiTheme="minorEastAsia" w:eastAsiaTheme="minorEastAsia"/>
          <w:sz w:val="24"/>
          <w:highlight w:val="none"/>
        </w:rPr>
        <w:t>年度的审计工作情况及服务意识、职业操守和履职能力，提议续聘</w:t>
      </w:r>
      <w:r>
        <w:rPr>
          <w:rFonts w:hint="eastAsia" w:asciiTheme="minorEastAsia" w:hAnsiTheme="minorEastAsia" w:eastAsiaTheme="minorEastAsia" w:cstheme="minorEastAsia"/>
          <w:sz w:val="24"/>
          <w:highlight w:val="none"/>
        </w:rPr>
        <w:t>中兴财光华会计师事务所（特殊普通合伙）</w:t>
      </w:r>
      <w:r>
        <w:rPr>
          <w:rFonts w:hint="eastAsia" w:asciiTheme="minorEastAsia" w:hAnsiTheme="minorEastAsia" w:eastAsiaTheme="minorEastAsia"/>
          <w:sz w:val="24"/>
          <w:highlight w:val="none"/>
        </w:rPr>
        <w:t>作为本公司202</w:t>
      </w:r>
      <w:r>
        <w:rPr>
          <w:rFonts w:hint="eastAsia" w:asciiTheme="minorEastAsia" w:hAnsiTheme="minorEastAsia" w:eastAsiaTheme="minorEastAsia"/>
          <w:sz w:val="24"/>
          <w:highlight w:val="none"/>
          <w:lang w:val="en-US" w:eastAsia="zh-CN"/>
        </w:rPr>
        <w:t>4</w:t>
      </w:r>
      <w:r>
        <w:rPr>
          <w:rFonts w:hint="eastAsia" w:asciiTheme="minorEastAsia" w:hAnsiTheme="minorEastAsia" w:eastAsiaTheme="minorEastAsia"/>
          <w:sz w:val="24"/>
          <w:highlight w:val="none"/>
        </w:rPr>
        <w:t>年度财务报告及内部控制审计机构，聘期一年，同意将《江苏吴中医药发展股份有限公司关于续聘会计师事务所的议案》提交公司董事会审议。</w:t>
      </w:r>
    </w:p>
    <w:p w14:paraId="451EA455">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二</w:t>
      </w:r>
      <w:r>
        <w:rPr>
          <w:rFonts w:hint="eastAsia" w:asciiTheme="minorEastAsia" w:hAnsiTheme="minorEastAsia" w:eastAsiaTheme="minorEastAsia"/>
          <w:sz w:val="24"/>
        </w:rPr>
        <w:t>）董事会的审议和表决情况</w:t>
      </w:r>
    </w:p>
    <w:p w14:paraId="4428C830">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202</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年</w:t>
      </w:r>
      <w:r>
        <w:rPr>
          <w:rFonts w:hint="eastAsia" w:asciiTheme="minorEastAsia" w:hAnsiTheme="minorEastAsia" w:eastAsiaTheme="minorEastAsia"/>
          <w:sz w:val="24"/>
          <w:lang w:val="en-US" w:eastAsia="zh-CN"/>
        </w:rPr>
        <w:t>11</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日，公司召开第十一届董事会2024年第三次临时会议（通讯表决），以全票同意审议通过了《江苏吴中医药发展股份有限公司关于续聘会计师事务所的议案》，同意续聘</w:t>
      </w:r>
      <w:r>
        <w:rPr>
          <w:rFonts w:hint="eastAsia" w:asciiTheme="minorEastAsia" w:hAnsiTheme="minorEastAsia" w:eastAsiaTheme="minorEastAsia" w:cstheme="minorEastAsia"/>
          <w:sz w:val="24"/>
        </w:rPr>
        <w:t>中兴财光华会计师事务所（特殊普通合伙）</w:t>
      </w:r>
      <w:r>
        <w:rPr>
          <w:rFonts w:hint="eastAsia" w:asciiTheme="minorEastAsia" w:hAnsiTheme="minorEastAsia" w:eastAsiaTheme="minorEastAsia"/>
          <w:sz w:val="24"/>
        </w:rPr>
        <w:t>作为本公司202</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年度财务报告及内部控制审计机构，聘期一年。</w:t>
      </w:r>
    </w:p>
    <w:p w14:paraId="205E8D75">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三</w:t>
      </w:r>
      <w:r>
        <w:rPr>
          <w:rFonts w:hint="eastAsia" w:asciiTheme="minorEastAsia" w:hAnsiTheme="minorEastAsia" w:eastAsiaTheme="minorEastAsia"/>
          <w:sz w:val="24"/>
        </w:rPr>
        <w:t>）生效日期</w:t>
      </w:r>
    </w:p>
    <w:p w14:paraId="4DF17550">
      <w:pPr>
        <w:spacing w:line="360" w:lineRule="auto"/>
        <w:ind w:firstLine="540"/>
        <w:rPr>
          <w:rFonts w:asciiTheme="minorEastAsia" w:hAnsiTheme="minorEastAsia" w:eastAsiaTheme="minorEastAsia"/>
          <w:sz w:val="24"/>
        </w:rPr>
      </w:pPr>
      <w:r>
        <w:rPr>
          <w:rFonts w:hint="eastAsia" w:asciiTheme="minorEastAsia" w:hAnsiTheme="minorEastAsia" w:eastAsiaTheme="minorEastAsia"/>
          <w:sz w:val="24"/>
        </w:rPr>
        <w:t>本次续聘会计师事务所事项尚需提交公司股东大会审议，并自公司股东大会审议通过之日起生效。</w:t>
      </w:r>
    </w:p>
    <w:p w14:paraId="0C6BBD04">
      <w:pPr>
        <w:spacing w:line="360" w:lineRule="auto"/>
        <w:ind w:firstLine="540"/>
        <w:rPr>
          <w:rFonts w:asciiTheme="minorEastAsia" w:hAnsiTheme="minorEastAsia" w:eastAsiaTheme="minorEastAsia"/>
          <w:sz w:val="24"/>
        </w:rPr>
      </w:pPr>
    </w:p>
    <w:p w14:paraId="1AFCA623">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特此公告。</w:t>
      </w:r>
    </w:p>
    <w:p w14:paraId="505E0666">
      <w:pPr>
        <w:widowControl/>
        <w:spacing w:line="360" w:lineRule="auto"/>
        <w:ind w:firstLine="480" w:firstLineChars="200"/>
        <w:jc w:val="left"/>
        <w:rPr>
          <w:rFonts w:cs="宋体" w:asciiTheme="minorEastAsia" w:hAnsiTheme="minorEastAsia" w:eastAsiaTheme="minorEastAsia"/>
          <w:kern w:val="0"/>
          <w:sz w:val="24"/>
        </w:rPr>
      </w:pPr>
    </w:p>
    <w:p w14:paraId="4698BE8E">
      <w:pPr>
        <w:spacing w:line="360" w:lineRule="auto"/>
        <w:ind w:firstLine="4320" w:firstLineChars="1800"/>
        <w:jc w:val="right"/>
        <w:rPr>
          <w:rFonts w:asciiTheme="minorEastAsia" w:hAnsiTheme="minorEastAsia" w:eastAsiaTheme="minorEastAsia"/>
          <w:sz w:val="24"/>
        </w:rPr>
      </w:pPr>
      <w:r>
        <w:rPr>
          <w:rFonts w:hint="eastAsia" w:asciiTheme="minorEastAsia" w:hAnsiTheme="minorEastAsia" w:eastAsiaTheme="minorEastAsia"/>
          <w:sz w:val="24"/>
        </w:rPr>
        <w:t>江苏吴中医药发展股份有限公司</w:t>
      </w:r>
    </w:p>
    <w:p w14:paraId="600D81C7">
      <w:pPr>
        <w:spacing w:line="360" w:lineRule="auto"/>
        <w:ind w:right="1200" w:firstLine="4320" w:firstLineChars="1800"/>
        <w:jc w:val="right"/>
        <w:rPr>
          <w:rFonts w:asciiTheme="minorEastAsia" w:hAnsiTheme="minorEastAsia" w:eastAsiaTheme="minorEastAsia"/>
          <w:sz w:val="24"/>
        </w:rPr>
      </w:pPr>
      <w:r>
        <w:rPr>
          <w:rFonts w:hint="eastAsia" w:asciiTheme="minorEastAsia" w:hAnsiTheme="minorEastAsia" w:eastAsiaTheme="minorEastAsia"/>
          <w:sz w:val="24"/>
        </w:rPr>
        <w:t xml:space="preserve">董事会      </w:t>
      </w:r>
    </w:p>
    <w:p w14:paraId="2BF84937">
      <w:pPr>
        <w:spacing w:line="360" w:lineRule="auto"/>
        <w:ind w:right="480" w:firstLine="5220" w:firstLineChars="2175"/>
        <w:jc w:val="center"/>
        <w:rPr>
          <w:rFonts w:ascii="宋体" w:hAnsi="宋体"/>
          <w:sz w:val="24"/>
        </w:rPr>
      </w:pPr>
      <w:r>
        <w:rPr>
          <w:rFonts w:hint="eastAsia" w:asciiTheme="minorEastAsia" w:hAnsiTheme="minorEastAsia" w:eastAsiaTheme="minorEastAsia"/>
          <w:sz w:val="24"/>
        </w:rPr>
        <w:t xml:space="preserve">    202</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年</w:t>
      </w:r>
      <w:r>
        <w:rPr>
          <w:rFonts w:hint="eastAsia" w:asciiTheme="minorEastAsia" w:hAnsiTheme="minorEastAsia" w:eastAsiaTheme="minorEastAsia"/>
          <w:sz w:val="24"/>
          <w:lang w:val="en-US" w:eastAsia="zh-CN"/>
        </w:rPr>
        <w:t>11</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7D0067"/>
    <w:multiLevelType w:val="singleLevel"/>
    <w:tmpl w:val="127D0067"/>
    <w:lvl w:ilvl="0" w:tentative="0">
      <w:start w:val="1"/>
      <w:numFmt w:val="bullet"/>
      <w:lvlText w:val=""/>
      <w:lvlJc w:val="left"/>
      <w:pPr>
        <w:tabs>
          <w:tab w:val="left" w:pos="420"/>
        </w:tabs>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wMDkyNTZjMzMwNGNiNWI4YzBkN2FjZjU1MzgyMDgifQ=="/>
  </w:docVars>
  <w:rsids>
    <w:rsidRoot w:val="00A45784"/>
    <w:rsid w:val="000122B5"/>
    <w:rsid w:val="00014D70"/>
    <w:rsid w:val="0003171D"/>
    <w:rsid w:val="000377FA"/>
    <w:rsid w:val="00086E94"/>
    <w:rsid w:val="000A47DF"/>
    <w:rsid w:val="000A4818"/>
    <w:rsid w:val="000B2840"/>
    <w:rsid w:val="000B471C"/>
    <w:rsid w:val="000C1EBF"/>
    <w:rsid w:val="000C334F"/>
    <w:rsid w:val="000D4DEB"/>
    <w:rsid w:val="000D5160"/>
    <w:rsid w:val="000F112E"/>
    <w:rsid w:val="00105C70"/>
    <w:rsid w:val="00115DE0"/>
    <w:rsid w:val="00125EB5"/>
    <w:rsid w:val="00141A30"/>
    <w:rsid w:val="0014235B"/>
    <w:rsid w:val="001449C0"/>
    <w:rsid w:val="00167B35"/>
    <w:rsid w:val="00172DDE"/>
    <w:rsid w:val="00184711"/>
    <w:rsid w:val="001A6F91"/>
    <w:rsid w:val="001E24B1"/>
    <w:rsid w:val="00207C98"/>
    <w:rsid w:val="0021037C"/>
    <w:rsid w:val="00226381"/>
    <w:rsid w:val="00241269"/>
    <w:rsid w:val="002442A3"/>
    <w:rsid w:val="00244CA8"/>
    <w:rsid w:val="0025726D"/>
    <w:rsid w:val="0025795B"/>
    <w:rsid w:val="0027220C"/>
    <w:rsid w:val="002808AB"/>
    <w:rsid w:val="002818D2"/>
    <w:rsid w:val="00284B6B"/>
    <w:rsid w:val="002B7CCB"/>
    <w:rsid w:val="002D2369"/>
    <w:rsid w:val="002E17DB"/>
    <w:rsid w:val="002E3664"/>
    <w:rsid w:val="003046D6"/>
    <w:rsid w:val="00324EB8"/>
    <w:rsid w:val="00340B27"/>
    <w:rsid w:val="00345027"/>
    <w:rsid w:val="0036359C"/>
    <w:rsid w:val="003870CC"/>
    <w:rsid w:val="003B5345"/>
    <w:rsid w:val="003D3FFF"/>
    <w:rsid w:val="003E355B"/>
    <w:rsid w:val="003E611D"/>
    <w:rsid w:val="004502F4"/>
    <w:rsid w:val="00452CF5"/>
    <w:rsid w:val="00463A87"/>
    <w:rsid w:val="00487F80"/>
    <w:rsid w:val="004A01A5"/>
    <w:rsid w:val="004D6CC0"/>
    <w:rsid w:val="004E363D"/>
    <w:rsid w:val="004F1F15"/>
    <w:rsid w:val="004F23D4"/>
    <w:rsid w:val="00515F09"/>
    <w:rsid w:val="005433E7"/>
    <w:rsid w:val="005712CB"/>
    <w:rsid w:val="00577CBB"/>
    <w:rsid w:val="005A49B9"/>
    <w:rsid w:val="005B4F18"/>
    <w:rsid w:val="005C3668"/>
    <w:rsid w:val="005E7D3F"/>
    <w:rsid w:val="005F7FC6"/>
    <w:rsid w:val="0060613D"/>
    <w:rsid w:val="00613790"/>
    <w:rsid w:val="00615D49"/>
    <w:rsid w:val="006412D7"/>
    <w:rsid w:val="00644FB5"/>
    <w:rsid w:val="00662769"/>
    <w:rsid w:val="00683AED"/>
    <w:rsid w:val="00695D72"/>
    <w:rsid w:val="006B197C"/>
    <w:rsid w:val="006B29CA"/>
    <w:rsid w:val="006B2B65"/>
    <w:rsid w:val="006C1077"/>
    <w:rsid w:val="006C5D79"/>
    <w:rsid w:val="006D33D8"/>
    <w:rsid w:val="006D7E73"/>
    <w:rsid w:val="006E36D5"/>
    <w:rsid w:val="006F165C"/>
    <w:rsid w:val="007014FC"/>
    <w:rsid w:val="00704271"/>
    <w:rsid w:val="0070577A"/>
    <w:rsid w:val="007134BF"/>
    <w:rsid w:val="00730D6E"/>
    <w:rsid w:val="007507C1"/>
    <w:rsid w:val="007734A6"/>
    <w:rsid w:val="007902F4"/>
    <w:rsid w:val="00794177"/>
    <w:rsid w:val="00802A0A"/>
    <w:rsid w:val="00803388"/>
    <w:rsid w:val="00813FAD"/>
    <w:rsid w:val="00817B01"/>
    <w:rsid w:val="00831741"/>
    <w:rsid w:val="00831ED0"/>
    <w:rsid w:val="0083330B"/>
    <w:rsid w:val="00855EF2"/>
    <w:rsid w:val="00867EC2"/>
    <w:rsid w:val="00891BAD"/>
    <w:rsid w:val="00893296"/>
    <w:rsid w:val="008935D4"/>
    <w:rsid w:val="008B050D"/>
    <w:rsid w:val="008B282E"/>
    <w:rsid w:val="008C473B"/>
    <w:rsid w:val="008E182A"/>
    <w:rsid w:val="008E57CC"/>
    <w:rsid w:val="008F6AB5"/>
    <w:rsid w:val="0090509B"/>
    <w:rsid w:val="00907D4E"/>
    <w:rsid w:val="00933FA5"/>
    <w:rsid w:val="00955A3F"/>
    <w:rsid w:val="00961C50"/>
    <w:rsid w:val="009626AA"/>
    <w:rsid w:val="00965CA7"/>
    <w:rsid w:val="00990D42"/>
    <w:rsid w:val="009E123A"/>
    <w:rsid w:val="009E210A"/>
    <w:rsid w:val="009F2B75"/>
    <w:rsid w:val="00A267F9"/>
    <w:rsid w:val="00A45784"/>
    <w:rsid w:val="00A47C97"/>
    <w:rsid w:val="00A57867"/>
    <w:rsid w:val="00A61011"/>
    <w:rsid w:val="00A66838"/>
    <w:rsid w:val="00A803BB"/>
    <w:rsid w:val="00A84782"/>
    <w:rsid w:val="00AA10D4"/>
    <w:rsid w:val="00AA5774"/>
    <w:rsid w:val="00AB6F9F"/>
    <w:rsid w:val="00AC7ABF"/>
    <w:rsid w:val="00AD0DA5"/>
    <w:rsid w:val="00B0355E"/>
    <w:rsid w:val="00B07E79"/>
    <w:rsid w:val="00B31A8D"/>
    <w:rsid w:val="00B37E5C"/>
    <w:rsid w:val="00B47F4C"/>
    <w:rsid w:val="00B562A7"/>
    <w:rsid w:val="00B825D8"/>
    <w:rsid w:val="00B93CE6"/>
    <w:rsid w:val="00BB065F"/>
    <w:rsid w:val="00BB5F62"/>
    <w:rsid w:val="00BF2501"/>
    <w:rsid w:val="00BF68F7"/>
    <w:rsid w:val="00C14435"/>
    <w:rsid w:val="00C4428C"/>
    <w:rsid w:val="00C9411D"/>
    <w:rsid w:val="00C948D1"/>
    <w:rsid w:val="00CA24CA"/>
    <w:rsid w:val="00CC65AD"/>
    <w:rsid w:val="00CD5891"/>
    <w:rsid w:val="00CD6EAB"/>
    <w:rsid w:val="00CE1F4F"/>
    <w:rsid w:val="00CF40EA"/>
    <w:rsid w:val="00D04CBB"/>
    <w:rsid w:val="00D21B8D"/>
    <w:rsid w:val="00D26D15"/>
    <w:rsid w:val="00D37C75"/>
    <w:rsid w:val="00D45281"/>
    <w:rsid w:val="00D45300"/>
    <w:rsid w:val="00D53DC4"/>
    <w:rsid w:val="00D773FE"/>
    <w:rsid w:val="00D90214"/>
    <w:rsid w:val="00D90BC6"/>
    <w:rsid w:val="00DB50BC"/>
    <w:rsid w:val="00E003D0"/>
    <w:rsid w:val="00E025CD"/>
    <w:rsid w:val="00E05034"/>
    <w:rsid w:val="00E05DAC"/>
    <w:rsid w:val="00E13E1C"/>
    <w:rsid w:val="00E220DE"/>
    <w:rsid w:val="00E40DCB"/>
    <w:rsid w:val="00E73DAA"/>
    <w:rsid w:val="00E74755"/>
    <w:rsid w:val="00E9529E"/>
    <w:rsid w:val="00E96688"/>
    <w:rsid w:val="00E96761"/>
    <w:rsid w:val="00EA6444"/>
    <w:rsid w:val="00EB7FBA"/>
    <w:rsid w:val="00EF6E03"/>
    <w:rsid w:val="00F032CF"/>
    <w:rsid w:val="00F03FA2"/>
    <w:rsid w:val="00F07EAF"/>
    <w:rsid w:val="00F12937"/>
    <w:rsid w:val="00F12BEE"/>
    <w:rsid w:val="00F13AFE"/>
    <w:rsid w:val="00F551C7"/>
    <w:rsid w:val="00F5739B"/>
    <w:rsid w:val="00F632C3"/>
    <w:rsid w:val="00F86A04"/>
    <w:rsid w:val="00F91D7D"/>
    <w:rsid w:val="00FA2B97"/>
    <w:rsid w:val="00FA5496"/>
    <w:rsid w:val="00FD5CB7"/>
    <w:rsid w:val="00FE5ACA"/>
    <w:rsid w:val="00FF1000"/>
    <w:rsid w:val="00FF51D5"/>
    <w:rsid w:val="06C750D9"/>
    <w:rsid w:val="09537971"/>
    <w:rsid w:val="0C300E1D"/>
    <w:rsid w:val="13130542"/>
    <w:rsid w:val="140B3013"/>
    <w:rsid w:val="2CAE2156"/>
    <w:rsid w:val="3509498C"/>
    <w:rsid w:val="41F63994"/>
    <w:rsid w:val="58E803E0"/>
    <w:rsid w:val="5B70610D"/>
    <w:rsid w:val="63730A08"/>
    <w:rsid w:val="670C2CCE"/>
    <w:rsid w:val="67277FC8"/>
    <w:rsid w:val="6B6A4C10"/>
    <w:rsid w:val="72F571CC"/>
    <w:rsid w:val="7EBF0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9">
    <w:name w:val="页眉 字符"/>
    <w:basedOn w:val="7"/>
    <w:link w:val="4"/>
    <w:qFormat/>
    <w:uiPriority w:val="99"/>
    <w:rPr>
      <w:rFonts w:ascii="Times New Roman" w:hAnsi="Times New Roman" w:eastAsia="宋体" w:cs="Times New Roman"/>
      <w:sz w:val="18"/>
      <w:szCs w:val="18"/>
    </w:rPr>
  </w:style>
  <w:style w:type="character" w:customStyle="1" w:styleId="10">
    <w:name w:val="页脚 字符"/>
    <w:basedOn w:val="7"/>
    <w:link w:val="3"/>
    <w:qFormat/>
    <w:uiPriority w:val="99"/>
    <w:rPr>
      <w:rFonts w:ascii="Times New Roman" w:hAnsi="Times New Roman" w:eastAsia="宋体" w:cs="Times New Roman"/>
      <w:sz w:val="18"/>
      <w:szCs w:val="18"/>
    </w:rPr>
  </w:style>
  <w:style w:type="character" w:customStyle="1" w:styleId="11">
    <w:name w:val="批注框文本 字符"/>
    <w:basedOn w:val="7"/>
    <w:link w:val="2"/>
    <w:semiHidden/>
    <w:qFormat/>
    <w:uiPriority w:val="99"/>
    <w:rPr>
      <w:rFonts w:ascii="Times New Roman" w:hAnsi="Times New Roman" w:eastAsia="宋体" w:cs="Times New Roman"/>
      <w:sz w:val="18"/>
      <w:szCs w:val="18"/>
    </w:rPr>
  </w:style>
  <w:style w:type="paragraph" w:styleId="12">
    <w:name w:val="List Paragraph"/>
    <w:basedOn w:val="1"/>
    <w:qFormat/>
    <w:uiPriority w:val="1"/>
    <w:pPr>
      <w:ind w:left="220" w:firstLine="599"/>
    </w:pPr>
    <w:rPr>
      <w:rFonts w:ascii="宋体" w:hAnsi="宋体" w:cs="宋体"/>
      <w:lang w:val="zh-CN" w:bidi="zh-CN"/>
    </w:rPr>
  </w:style>
  <w:style w:type="table" w:customStyle="1" w:styleId="13">
    <w:name w:val="网格型1"/>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2263</Words>
  <Characters>2446</Characters>
  <Lines>22</Lines>
  <Paragraphs>6</Paragraphs>
  <TotalTime>4</TotalTime>
  <ScaleCrop>false</ScaleCrop>
  <LinksUpToDate>false</LinksUpToDate>
  <CharactersWithSpaces>2471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2020-03-12T07:00:00Z</dcterms:created>
  <dc:creator>李锐</dc:creator>
  <cp:lastModifiedBy>王雅杰</cp:lastModifiedBy>
  <dcterms:modified xsi:type="dcterms:W3CDTF">2024-11-04T07:47:15Z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9B0EE80910A547FCB9161BB39683E911_12</vt:lpwstr>
  </property>
</Properties>
</file>