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5B9247">
      <w:pPr>
        <w:autoSpaceDE w:val="0"/>
        <w:autoSpaceDN w:val="0"/>
        <w:adjustRightInd w:val="0"/>
        <w:ind w:firstLine="0" w:firstLineChars="0"/>
        <w:rPr>
          <w:rFonts w:hint="default" w:ascii="宋体" w:hAnsi="宋体" w:eastAsiaTheme="minorEastAsia"/>
          <w:lang w:val="en-US" w:eastAsia="zh-CN"/>
        </w:rPr>
      </w:pPr>
      <w:r>
        <w:rPr>
          <w:rFonts w:ascii="宋体" w:hAnsi="宋体"/>
        </w:rPr>
        <w:t>证券代码：600200</w:t>
      </w:r>
      <w:r>
        <w:rPr>
          <w:rFonts w:hint="eastAsia" w:ascii="宋体" w:hAnsi="宋体"/>
        </w:rPr>
        <w:t xml:space="preserve">        </w:t>
      </w:r>
      <w:r>
        <w:rPr>
          <w:rFonts w:ascii="宋体" w:hAnsi="宋体"/>
        </w:rPr>
        <w:t>证</w:t>
      </w:r>
      <w:r>
        <w:rPr>
          <w:rFonts w:ascii="宋体" w:hAnsi="宋体"/>
          <w:highlight w:val="none"/>
        </w:rPr>
        <w:t>券简称：江苏吴中</w:t>
      </w:r>
      <w:r>
        <w:rPr>
          <w:rFonts w:hint="eastAsia" w:ascii="宋体" w:hAnsi="宋体"/>
          <w:highlight w:val="none"/>
        </w:rPr>
        <w:t xml:space="preserve">           </w:t>
      </w:r>
      <w:r>
        <w:rPr>
          <w:rFonts w:ascii="宋体" w:hAnsi="宋体"/>
          <w:highlight w:val="none"/>
        </w:rPr>
        <w:t>编号：临20</w:t>
      </w:r>
      <w:r>
        <w:rPr>
          <w:rFonts w:hint="eastAsia" w:ascii="宋体" w:hAnsi="宋体"/>
          <w:highlight w:val="none"/>
        </w:rPr>
        <w:t>24</w:t>
      </w:r>
      <w:r>
        <w:rPr>
          <w:rFonts w:ascii="宋体" w:hAnsi="宋体"/>
          <w:highlight w:val="none"/>
        </w:rPr>
        <w:t>-</w:t>
      </w:r>
      <w:r>
        <w:rPr>
          <w:rFonts w:hint="eastAsia" w:ascii="宋体" w:hAnsi="宋体"/>
          <w:highlight w:val="none"/>
          <w:lang w:val="en-US" w:eastAsia="zh-CN"/>
        </w:rPr>
        <w:t>077</w:t>
      </w:r>
    </w:p>
    <w:p w14:paraId="29FDF2BB">
      <w:pPr>
        <w:autoSpaceDE w:val="0"/>
        <w:autoSpaceDN w:val="0"/>
        <w:adjustRightInd w:val="0"/>
        <w:ind w:firstLine="590"/>
        <w:jc w:val="center"/>
        <w:rPr>
          <w:rFonts w:ascii="宋体" w:hAnsi="宋体"/>
          <w:b/>
          <w:bCs/>
          <w:sz w:val="30"/>
        </w:rPr>
      </w:pPr>
    </w:p>
    <w:p w14:paraId="3B43A1CD">
      <w:pPr>
        <w:ind w:firstLine="630"/>
        <w:jc w:val="center"/>
        <w:rPr>
          <w:rFonts w:ascii="黑体" w:hAnsi="宋体" w:eastAsia="黑体"/>
          <w:b/>
          <w:bCs/>
          <w:color w:val="FF0000"/>
          <w:sz w:val="32"/>
        </w:rPr>
      </w:pPr>
      <w:r>
        <w:rPr>
          <w:rFonts w:hint="eastAsia" w:ascii="黑体" w:hAnsi="宋体" w:eastAsia="黑体"/>
          <w:b/>
          <w:bCs/>
          <w:color w:val="FF0000"/>
          <w:sz w:val="32"/>
        </w:rPr>
        <w:t>江苏吴中医药发展股份有限公司</w:t>
      </w:r>
    </w:p>
    <w:p w14:paraId="18E58E83">
      <w:pPr>
        <w:ind w:firstLine="630"/>
        <w:jc w:val="center"/>
        <w:rPr>
          <w:rFonts w:ascii="黑体" w:hAnsi="宋体" w:eastAsia="黑体"/>
          <w:b/>
          <w:bCs/>
          <w:color w:val="FF0000"/>
          <w:sz w:val="32"/>
        </w:rPr>
      </w:pPr>
      <w:r>
        <w:rPr>
          <w:rFonts w:hint="eastAsia" w:ascii="黑体" w:hAnsi="宋体" w:eastAsia="黑体"/>
          <w:b/>
          <w:bCs/>
          <w:color w:val="FF0000"/>
          <w:sz w:val="32"/>
        </w:rPr>
        <w:t>关于全资子公司提供担保的公告</w:t>
      </w:r>
    </w:p>
    <w:p w14:paraId="26A5162D">
      <w:pPr>
        <w:autoSpaceDE w:val="0"/>
        <w:autoSpaceDN w:val="0"/>
        <w:adjustRightInd w:val="0"/>
        <w:ind w:firstLine="482" w:firstLineChars="200"/>
        <w:rPr>
          <w:rFonts w:ascii="宋体" w:hAnsi="宋体"/>
          <w:b/>
        </w:rPr>
      </w:pPr>
    </w:p>
    <w:p w14:paraId="7076AF3B">
      <w:pPr>
        <w:autoSpaceDE w:val="0"/>
        <w:autoSpaceDN w:val="0"/>
        <w:adjustRightInd w:val="0"/>
        <w:ind w:firstLine="482" w:firstLineChars="200"/>
        <w:rPr>
          <w:rFonts w:hint="eastAsia" w:ascii="ˎ̥" w:hAnsi="ˎ̥"/>
          <w:b/>
        </w:rPr>
      </w:pPr>
      <w:r>
        <w:rPr>
          <w:rFonts w:hint="eastAsia" w:ascii="ˎ̥" w:hAnsi="ˎ̥"/>
          <w:b/>
        </w:rPr>
        <w:t>本公司董事会及董事会全体成员保证公告内容不存在虚假记载、误导性陈述或者重大遗漏，并对其内容的真实、准确和完整承担法律责任。</w:t>
      </w:r>
    </w:p>
    <w:p w14:paraId="0FFB2B66">
      <w:pPr>
        <w:autoSpaceDE w:val="0"/>
        <w:autoSpaceDN w:val="0"/>
        <w:adjustRightInd w:val="0"/>
        <w:ind w:firstLine="472"/>
        <w:rPr>
          <w:rFonts w:ascii="宋体" w:hAnsi="宋体"/>
          <w:b/>
        </w:rPr>
      </w:pPr>
    </w:p>
    <w:p w14:paraId="59FE16AE">
      <w:pPr>
        <w:keepNext w:val="0"/>
        <w:keepLines w:val="0"/>
        <w:pageBreakBefore w:val="0"/>
        <w:widowControl/>
        <w:kinsoku/>
        <w:wordWrap/>
        <w:overflowPunct/>
        <w:topLinePunct w:val="0"/>
        <w:autoSpaceDE w:val="0"/>
        <w:autoSpaceDN w:val="0"/>
        <w:bidi w:val="0"/>
        <w:adjustRightInd w:val="0"/>
        <w:snapToGrid/>
        <w:ind w:firstLine="482" w:firstLineChars="200"/>
        <w:textAlignment w:val="auto"/>
        <w:rPr>
          <w:rFonts w:cstheme="minorEastAsia"/>
          <w:b/>
          <w:sz w:val="24"/>
          <w:szCs w:val="24"/>
        </w:rPr>
      </w:pPr>
      <w:r>
        <w:rPr>
          <w:rFonts w:hint="eastAsia" w:cstheme="minorEastAsia"/>
          <w:b/>
          <w:sz w:val="24"/>
          <w:szCs w:val="24"/>
        </w:rPr>
        <w:t>重要内容提示:</w:t>
      </w:r>
    </w:p>
    <w:p w14:paraId="1AFAC6BB">
      <w:pPr>
        <w:keepNext w:val="0"/>
        <w:keepLines w:val="0"/>
        <w:pageBreakBefore w:val="0"/>
        <w:widowControl/>
        <w:kinsoku/>
        <w:wordWrap/>
        <w:overflowPunct/>
        <w:topLinePunct w:val="0"/>
        <w:bidi w:val="0"/>
        <w:snapToGrid/>
        <w:ind w:firstLine="482" w:firstLineChars="200"/>
        <w:textAlignment w:val="auto"/>
        <w:rPr>
          <w:sz w:val="24"/>
          <w:szCs w:val="24"/>
          <w:highlight w:val="none"/>
        </w:rPr>
      </w:pPr>
      <w:r>
        <w:rPr>
          <w:rFonts w:hint="eastAsia"/>
          <w:b/>
          <w:sz w:val="24"/>
          <w:szCs w:val="24"/>
        </w:rPr>
        <w:t>被担保人名称：</w:t>
      </w:r>
      <w:r>
        <w:rPr>
          <w:rFonts w:hint="eastAsia"/>
          <w:sz w:val="24"/>
          <w:szCs w:val="24"/>
          <w:highlight w:val="none"/>
        </w:rPr>
        <w:t>江苏吴中医药集团有限公司、江苏吴中医药销售有限公司</w:t>
      </w:r>
    </w:p>
    <w:p w14:paraId="4EFEB224">
      <w:pPr>
        <w:keepNext w:val="0"/>
        <w:keepLines w:val="0"/>
        <w:pageBreakBefore w:val="0"/>
        <w:widowControl/>
        <w:kinsoku/>
        <w:wordWrap/>
        <w:overflowPunct/>
        <w:topLinePunct w:val="0"/>
        <w:bidi w:val="0"/>
        <w:snapToGrid/>
        <w:ind w:firstLine="482" w:firstLineChars="200"/>
        <w:textAlignment w:val="auto"/>
        <w:rPr>
          <w:sz w:val="24"/>
          <w:szCs w:val="24"/>
          <w:highlight w:val="none"/>
        </w:rPr>
      </w:pPr>
      <w:r>
        <w:rPr>
          <w:rFonts w:hint="eastAsia"/>
          <w:b/>
          <w:sz w:val="24"/>
          <w:szCs w:val="24"/>
          <w:highlight w:val="none"/>
        </w:rPr>
        <w:t>本次担保金额及已实际为其提供担保余额：</w:t>
      </w:r>
      <w:r>
        <w:rPr>
          <w:rFonts w:hint="eastAsia"/>
          <w:sz w:val="24"/>
          <w:szCs w:val="24"/>
          <w:highlight w:val="none"/>
        </w:rPr>
        <w:t>本次担保金额合计</w:t>
      </w:r>
      <w:r>
        <w:rPr>
          <w:rFonts w:hint="eastAsia"/>
          <w:sz w:val="24"/>
          <w:szCs w:val="24"/>
          <w:highlight w:val="none"/>
          <w:lang w:val="en-US" w:eastAsia="zh-CN"/>
        </w:rPr>
        <w:t>18,500</w:t>
      </w:r>
      <w:r>
        <w:rPr>
          <w:rFonts w:hint="eastAsia"/>
          <w:sz w:val="24"/>
          <w:szCs w:val="24"/>
          <w:highlight w:val="none"/>
        </w:rPr>
        <w:t>万元人民币。其中，江苏吴中医药发展股份有限公司（以下简称“公司”或“上市公司”）全资子公司江苏吴中进出口有限公司（以下简称“进出口公司”）为公司全资子公司江苏吴中医药集团有限公司向银行申请的12</w:t>
      </w:r>
      <w:r>
        <w:rPr>
          <w:rFonts w:hint="eastAsia"/>
          <w:sz w:val="24"/>
          <w:szCs w:val="24"/>
          <w:highlight w:val="none"/>
          <w:lang w:val="en-US" w:eastAsia="zh-CN"/>
        </w:rPr>
        <w:t>,</w:t>
      </w:r>
      <w:r>
        <w:rPr>
          <w:rFonts w:hint="eastAsia"/>
          <w:sz w:val="24"/>
          <w:szCs w:val="24"/>
          <w:highlight w:val="none"/>
        </w:rPr>
        <w:t>250万元人民币的授信额度提供连带责任担保；进出口公司为公司全资孙公司江苏吴中医药销售有限公司向银行申请的6</w:t>
      </w:r>
      <w:r>
        <w:rPr>
          <w:rFonts w:hint="eastAsia"/>
          <w:sz w:val="24"/>
          <w:szCs w:val="24"/>
          <w:highlight w:val="none"/>
          <w:lang w:val="en-US" w:eastAsia="zh-CN"/>
        </w:rPr>
        <w:t>,</w:t>
      </w:r>
      <w:r>
        <w:rPr>
          <w:rFonts w:hint="eastAsia"/>
          <w:sz w:val="24"/>
          <w:szCs w:val="24"/>
          <w:highlight w:val="none"/>
        </w:rPr>
        <w:t>250万元人民币的授信额度提供连带责任担保。截至本公告披露日，公司及所属子公司已实际分别为江苏吴中医药集团有限公司、江苏吴中医药销售有限公司提供担保余额为</w:t>
      </w:r>
      <w:r>
        <w:rPr>
          <w:rFonts w:hint="eastAsia"/>
          <w:sz w:val="24"/>
          <w:szCs w:val="24"/>
          <w:highlight w:val="none"/>
          <w:lang w:val="en-US" w:eastAsia="zh-CN"/>
        </w:rPr>
        <w:t>87,603.26万元</w:t>
      </w:r>
      <w:r>
        <w:rPr>
          <w:rFonts w:hint="eastAsia"/>
          <w:sz w:val="24"/>
          <w:szCs w:val="24"/>
          <w:highlight w:val="none"/>
        </w:rPr>
        <w:t>、</w:t>
      </w:r>
      <w:r>
        <w:rPr>
          <w:rFonts w:hint="eastAsia"/>
          <w:sz w:val="24"/>
          <w:szCs w:val="24"/>
          <w:highlight w:val="none"/>
          <w:lang w:val="en-US" w:eastAsia="zh-CN"/>
        </w:rPr>
        <w:t>36,050万元,</w:t>
      </w:r>
      <w:r>
        <w:rPr>
          <w:rFonts w:hint="eastAsia"/>
          <w:sz w:val="24"/>
          <w:szCs w:val="24"/>
          <w:highlight w:val="none"/>
        </w:rPr>
        <w:t>。</w:t>
      </w:r>
    </w:p>
    <w:p w14:paraId="4C779374">
      <w:pPr>
        <w:keepNext w:val="0"/>
        <w:keepLines w:val="0"/>
        <w:pageBreakBefore w:val="0"/>
        <w:widowControl/>
        <w:kinsoku/>
        <w:wordWrap/>
        <w:overflowPunct/>
        <w:topLinePunct w:val="0"/>
        <w:bidi w:val="0"/>
        <w:snapToGrid/>
        <w:ind w:firstLine="480" w:firstLineChars="200"/>
        <w:textAlignment w:val="auto"/>
        <w:rPr>
          <w:sz w:val="24"/>
          <w:szCs w:val="24"/>
        </w:rPr>
      </w:pPr>
      <w:r>
        <w:rPr>
          <w:rFonts w:hint="eastAsia"/>
          <w:sz w:val="24"/>
          <w:szCs w:val="24"/>
        </w:rPr>
        <w:t>本次担保是否有反担保：否</w:t>
      </w:r>
    </w:p>
    <w:p w14:paraId="4C212888">
      <w:pPr>
        <w:keepNext w:val="0"/>
        <w:keepLines w:val="0"/>
        <w:pageBreakBefore w:val="0"/>
        <w:widowControl/>
        <w:kinsoku/>
        <w:wordWrap/>
        <w:overflowPunct/>
        <w:topLinePunct w:val="0"/>
        <w:bidi w:val="0"/>
        <w:snapToGrid/>
        <w:ind w:firstLine="480" w:firstLineChars="200"/>
        <w:textAlignment w:val="auto"/>
        <w:rPr>
          <w:color w:val="FF0000"/>
          <w:sz w:val="24"/>
          <w:szCs w:val="24"/>
        </w:rPr>
      </w:pPr>
      <w:r>
        <w:rPr>
          <w:rFonts w:hint="eastAsia"/>
          <w:sz w:val="24"/>
          <w:szCs w:val="24"/>
        </w:rPr>
        <w:t>对外担保逾期的累计数量：无</w:t>
      </w:r>
    </w:p>
    <w:p w14:paraId="73FA96F2">
      <w:pPr>
        <w:keepNext w:val="0"/>
        <w:keepLines w:val="0"/>
        <w:pageBreakBefore w:val="0"/>
        <w:widowControl/>
        <w:kinsoku/>
        <w:wordWrap/>
        <w:overflowPunct/>
        <w:topLinePunct w:val="0"/>
        <w:bidi w:val="0"/>
        <w:snapToGrid/>
        <w:ind w:firstLine="480" w:firstLineChars="200"/>
        <w:textAlignment w:val="auto"/>
        <w:rPr>
          <w:sz w:val="24"/>
          <w:szCs w:val="24"/>
        </w:rPr>
      </w:pPr>
    </w:p>
    <w:p w14:paraId="09EE28FE">
      <w:pPr>
        <w:keepNext w:val="0"/>
        <w:keepLines w:val="0"/>
        <w:pageBreakBefore w:val="0"/>
        <w:widowControl/>
        <w:kinsoku/>
        <w:wordWrap/>
        <w:overflowPunct/>
        <w:topLinePunct w:val="0"/>
        <w:bidi w:val="0"/>
        <w:snapToGrid/>
        <w:ind w:firstLine="482" w:firstLineChars="200"/>
        <w:textAlignment w:val="auto"/>
        <w:rPr>
          <w:b/>
          <w:sz w:val="24"/>
          <w:szCs w:val="24"/>
        </w:rPr>
      </w:pPr>
      <w:r>
        <w:rPr>
          <w:rFonts w:hint="eastAsia"/>
          <w:b/>
          <w:sz w:val="24"/>
          <w:szCs w:val="24"/>
        </w:rPr>
        <w:t>一、担保情况概述</w:t>
      </w:r>
    </w:p>
    <w:p w14:paraId="362BA2B4">
      <w:pPr>
        <w:keepNext w:val="0"/>
        <w:keepLines w:val="0"/>
        <w:pageBreakBefore w:val="0"/>
        <w:widowControl/>
        <w:kinsoku/>
        <w:wordWrap/>
        <w:overflowPunct/>
        <w:topLinePunct w:val="0"/>
        <w:bidi w:val="0"/>
        <w:snapToGrid/>
        <w:ind w:firstLine="480" w:firstLineChars="200"/>
        <w:textAlignment w:val="auto"/>
        <w:rPr>
          <w:rFonts w:hint="eastAsia"/>
          <w:sz w:val="24"/>
          <w:szCs w:val="24"/>
        </w:rPr>
      </w:pPr>
      <w:r>
        <w:rPr>
          <w:rFonts w:hint="eastAsia"/>
          <w:sz w:val="24"/>
          <w:szCs w:val="24"/>
        </w:rPr>
        <w:t>（一）本次担保基本情况</w:t>
      </w:r>
    </w:p>
    <w:p w14:paraId="1E8807E2">
      <w:pPr>
        <w:keepNext w:val="0"/>
        <w:keepLines w:val="0"/>
        <w:pageBreakBefore w:val="0"/>
        <w:widowControl/>
        <w:kinsoku/>
        <w:wordWrap/>
        <w:overflowPunct/>
        <w:topLinePunct w:val="0"/>
        <w:bidi w:val="0"/>
        <w:snapToGrid/>
        <w:ind w:firstLine="480" w:firstLineChars="200"/>
        <w:textAlignment w:val="auto"/>
        <w:rPr>
          <w:rFonts w:hint="eastAsia"/>
          <w:sz w:val="24"/>
          <w:szCs w:val="24"/>
          <w:highlight w:val="none"/>
        </w:rPr>
      </w:pPr>
      <w:r>
        <w:rPr>
          <w:rFonts w:hint="eastAsia"/>
          <w:sz w:val="24"/>
          <w:szCs w:val="24"/>
        </w:rPr>
        <w:t>因业务发展需要</w:t>
      </w:r>
      <w:r>
        <w:rPr>
          <w:rFonts w:hint="eastAsia"/>
          <w:sz w:val="24"/>
          <w:szCs w:val="24"/>
          <w:highlight w:val="none"/>
        </w:rPr>
        <w:t>，江苏吴中医药集团有限公司、江苏吴中医药销售有限公司向中国工商银行股份有限公司苏州吴中支行申请授信额度分别为人民币12</w:t>
      </w:r>
      <w:r>
        <w:rPr>
          <w:rFonts w:hint="eastAsia"/>
          <w:sz w:val="24"/>
          <w:szCs w:val="24"/>
          <w:highlight w:val="none"/>
          <w:lang w:val="en-US" w:eastAsia="zh-CN"/>
        </w:rPr>
        <w:t>,</w:t>
      </w:r>
      <w:r>
        <w:rPr>
          <w:rFonts w:hint="eastAsia"/>
          <w:sz w:val="24"/>
          <w:szCs w:val="24"/>
          <w:highlight w:val="none"/>
        </w:rPr>
        <w:t>250万元、6</w:t>
      </w:r>
      <w:r>
        <w:rPr>
          <w:rFonts w:hint="eastAsia"/>
          <w:sz w:val="24"/>
          <w:szCs w:val="24"/>
          <w:highlight w:val="none"/>
          <w:lang w:val="en-US" w:eastAsia="zh-CN"/>
        </w:rPr>
        <w:t>,</w:t>
      </w:r>
      <w:r>
        <w:rPr>
          <w:rFonts w:hint="eastAsia"/>
          <w:sz w:val="24"/>
          <w:szCs w:val="24"/>
          <w:highlight w:val="none"/>
        </w:rPr>
        <w:t>250万元，全资子公司江苏吴中进出口有限公司为上述授信额度提供连带责任担保。担保额度的有效期自公司股东大会审议通过之日起12个月，授信额度可在授权期限内循环使用。</w:t>
      </w:r>
    </w:p>
    <w:p w14:paraId="6DAECA5B">
      <w:pPr>
        <w:keepNext w:val="0"/>
        <w:keepLines w:val="0"/>
        <w:pageBreakBefore w:val="0"/>
        <w:widowControl/>
        <w:kinsoku/>
        <w:wordWrap/>
        <w:overflowPunct/>
        <w:topLinePunct w:val="0"/>
        <w:bidi w:val="0"/>
        <w:snapToGrid/>
        <w:ind w:firstLine="482" w:firstLineChars="200"/>
        <w:textAlignment w:val="auto"/>
        <w:rPr>
          <w:rFonts w:hint="eastAsia"/>
          <w:b/>
          <w:sz w:val="24"/>
          <w:szCs w:val="24"/>
        </w:rPr>
      </w:pPr>
      <w:r>
        <w:rPr>
          <w:rFonts w:hint="eastAsia"/>
          <w:b/>
          <w:sz w:val="24"/>
          <w:szCs w:val="24"/>
        </w:rPr>
        <w:t>（二）本次担保事项履行的内部决策程序</w:t>
      </w:r>
    </w:p>
    <w:p w14:paraId="4E94DF8F">
      <w:pPr>
        <w:keepNext w:val="0"/>
        <w:keepLines w:val="0"/>
        <w:pageBreakBefore w:val="0"/>
        <w:widowControl/>
        <w:kinsoku/>
        <w:wordWrap/>
        <w:overflowPunct/>
        <w:topLinePunct w:val="0"/>
        <w:bidi w:val="0"/>
        <w:snapToGrid/>
        <w:ind w:firstLine="480" w:firstLineChars="200"/>
        <w:textAlignment w:val="auto"/>
        <w:rPr>
          <w:rFonts w:hint="eastAsia"/>
          <w:sz w:val="24"/>
          <w:szCs w:val="24"/>
        </w:rPr>
      </w:pPr>
      <w:r>
        <w:rPr>
          <w:rFonts w:hint="eastAsia"/>
          <w:sz w:val="24"/>
          <w:szCs w:val="24"/>
        </w:rPr>
        <w:t>上述事项</w:t>
      </w:r>
      <w:r>
        <w:rPr>
          <w:sz w:val="24"/>
          <w:szCs w:val="24"/>
        </w:rPr>
        <w:t>已经公司</w:t>
      </w:r>
      <w:r>
        <w:rPr>
          <w:rFonts w:hint="eastAsia"/>
          <w:sz w:val="24"/>
          <w:szCs w:val="24"/>
        </w:rPr>
        <w:t>第十一届董事会2024年第三次临时会议</w:t>
      </w:r>
      <w:r>
        <w:rPr>
          <w:rFonts w:hint="eastAsia"/>
          <w:sz w:val="24"/>
          <w:szCs w:val="24"/>
          <w:lang w:val="en-US" w:eastAsia="zh-CN"/>
        </w:rPr>
        <w:t>（通讯表决）</w:t>
      </w:r>
      <w:r>
        <w:rPr>
          <w:sz w:val="24"/>
          <w:szCs w:val="24"/>
        </w:rPr>
        <w:t>审议通过，尚需</w:t>
      </w:r>
      <w:r>
        <w:rPr>
          <w:rFonts w:hint="eastAsia"/>
          <w:sz w:val="24"/>
          <w:szCs w:val="24"/>
        </w:rPr>
        <w:t>提交</w:t>
      </w:r>
      <w:r>
        <w:rPr>
          <w:sz w:val="24"/>
          <w:szCs w:val="24"/>
        </w:rPr>
        <w:t>公司股东大会审议通过。</w:t>
      </w:r>
    </w:p>
    <w:p w14:paraId="09488E02">
      <w:pPr>
        <w:keepNext w:val="0"/>
        <w:keepLines w:val="0"/>
        <w:pageBreakBefore w:val="0"/>
        <w:widowControl/>
        <w:kinsoku/>
        <w:wordWrap/>
        <w:overflowPunct/>
        <w:topLinePunct w:val="0"/>
        <w:bidi w:val="0"/>
        <w:snapToGrid/>
        <w:ind w:firstLine="480" w:firstLineChars="200"/>
        <w:textAlignment w:val="auto"/>
        <w:rPr>
          <w:sz w:val="24"/>
          <w:szCs w:val="24"/>
        </w:rPr>
      </w:pPr>
    </w:p>
    <w:p w14:paraId="4C4BBB28">
      <w:pPr>
        <w:keepNext w:val="0"/>
        <w:keepLines w:val="0"/>
        <w:pageBreakBefore w:val="0"/>
        <w:widowControl/>
        <w:kinsoku/>
        <w:wordWrap/>
        <w:overflowPunct/>
        <w:topLinePunct w:val="0"/>
        <w:bidi w:val="0"/>
        <w:snapToGrid/>
        <w:ind w:firstLine="482" w:firstLineChars="200"/>
        <w:textAlignment w:val="auto"/>
        <w:rPr>
          <w:b/>
          <w:sz w:val="24"/>
          <w:szCs w:val="24"/>
        </w:rPr>
      </w:pPr>
      <w:r>
        <w:rPr>
          <w:b/>
          <w:sz w:val="24"/>
          <w:szCs w:val="24"/>
        </w:rPr>
        <w:t>二、被担保人基本情况</w:t>
      </w:r>
    </w:p>
    <w:p w14:paraId="3A71DE0C">
      <w:pPr>
        <w:keepNext w:val="0"/>
        <w:keepLines w:val="0"/>
        <w:pageBreakBefore w:val="0"/>
        <w:widowControl/>
        <w:kinsoku/>
        <w:wordWrap/>
        <w:overflowPunct/>
        <w:topLinePunct w:val="0"/>
        <w:bidi w:val="0"/>
        <w:snapToGrid/>
        <w:ind w:firstLine="480" w:firstLineChars="200"/>
        <w:textAlignment w:val="auto"/>
        <w:rPr>
          <w:sz w:val="24"/>
          <w:szCs w:val="24"/>
        </w:rPr>
      </w:pPr>
      <w:r>
        <w:rPr>
          <w:sz w:val="24"/>
          <w:szCs w:val="24"/>
        </w:rPr>
        <w:t>上述各被担保人的基本情况如下：</w:t>
      </w:r>
    </w:p>
    <w:p w14:paraId="30BB0B23">
      <w:pPr>
        <w:keepNext w:val="0"/>
        <w:keepLines w:val="0"/>
        <w:pageBreakBefore w:val="0"/>
        <w:widowControl/>
        <w:kinsoku/>
        <w:wordWrap/>
        <w:overflowPunct/>
        <w:topLinePunct w:val="0"/>
        <w:bidi w:val="0"/>
        <w:snapToGrid/>
        <w:ind w:firstLine="480" w:firstLineChars="200"/>
        <w:textAlignment w:val="auto"/>
        <w:rPr>
          <w:sz w:val="24"/>
          <w:szCs w:val="24"/>
          <w:highlight w:val="none"/>
        </w:rPr>
      </w:pPr>
      <w:r>
        <w:rPr>
          <w:rFonts w:hint="eastAsia"/>
          <w:sz w:val="24"/>
          <w:szCs w:val="24"/>
          <w:highlight w:val="none"/>
        </w:rPr>
        <w:t>1、江苏吴中医药集团有限公司。注册地点：苏州市；法定代表人：孙田江；经营范围：药品生产、销售（分支机构</w:t>
      </w:r>
      <w:bookmarkStart w:id="0" w:name="_GoBack"/>
      <w:bookmarkEnd w:id="0"/>
      <w:r>
        <w:rPr>
          <w:rFonts w:hint="eastAsia"/>
          <w:sz w:val="24"/>
          <w:szCs w:val="24"/>
          <w:highlight w:val="none"/>
        </w:rPr>
        <w:t>经营）；医药产业投资管理；医药研究及技术开发、技术转让、技术咨询服务；自营和代理各类商品及技术的进出口业务。（依法须经批准的项目，经相关部门批准后方可开展经营活动）</w:t>
      </w:r>
    </w:p>
    <w:p w14:paraId="0D73B51D">
      <w:pPr>
        <w:keepNext w:val="0"/>
        <w:keepLines w:val="0"/>
        <w:pageBreakBefore w:val="0"/>
        <w:widowControl/>
        <w:kinsoku/>
        <w:wordWrap/>
        <w:overflowPunct/>
        <w:topLinePunct w:val="0"/>
        <w:bidi w:val="0"/>
        <w:snapToGrid/>
        <w:ind w:firstLine="480" w:firstLineChars="200"/>
        <w:textAlignment w:val="auto"/>
        <w:rPr>
          <w:sz w:val="24"/>
          <w:szCs w:val="24"/>
          <w:highlight w:val="none"/>
        </w:rPr>
      </w:pPr>
      <w:r>
        <w:rPr>
          <w:rFonts w:hint="eastAsia"/>
          <w:sz w:val="24"/>
          <w:szCs w:val="24"/>
          <w:highlight w:val="none"/>
        </w:rPr>
        <w:t>与上市公司的关联关系：本公司的全资子公司。</w:t>
      </w:r>
    </w:p>
    <w:p w14:paraId="2B22BB4E">
      <w:pPr>
        <w:keepNext w:val="0"/>
        <w:keepLines w:val="0"/>
        <w:pageBreakBefore w:val="0"/>
        <w:widowControl/>
        <w:kinsoku/>
        <w:wordWrap/>
        <w:overflowPunct/>
        <w:topLinePunct w:val="0"/>
        <w:bidi w:val="0"/>
        <w:snapToGrid/>
        <w:ind w:firstLine="480" w:firstLineChars="200"/>
        <w:textAlignment w:val="auto"/>
        <w:rPr>
          <w:sz w:val="24"/>
          <w:szCs w:val="24"/>
          <w:highlight w:val="none"/>
        </w:rPr>
      </w:pPr>
      <w:r>
        <w:rPr>
          <w:rFonts w:hint="eastAsia"/>
          <w:sz w:val="24"/>
          <w:szCs w:val="24"/>
          <w:highlight w:val="none"/>
        </w:rPr>
        <w:t>江苏吴中医药集团有限公司2023年末资产总额267,649.68万元，负债总额149,653.09万元，其中：流动负债总额145,733.49万元、银行贷款总额90,733.64万元，净资产117,996.59万元，净利润1,164.32万元。</w:t>
      </w:r>
    </w:p>
    <w:p w14:paraId="40709EA3">
      <w:pPr>
        <w:keepNext w:val="0"/>
        <w:keepLines w:val="0"/>
        <w:pageBreakBefore w:val="0"/>
        <w:widowControl/>
        <w:kinsoku/>
        <w:wordWrap/>
        <w:overflowPunct/>
        <w:topLinePunct w:val="0"/>
        <w:bidi w:val="0"/>
        <w:snapToGrid/>
        <w:ind w:firstLine="480" w:firstLineChars="200"/>
        <w:textAlignment w:val="auto"/>
        <w:rPr>
          <w:sz w:val="24"/>
          <w:szCs w:val="24"/>
          <w:highlight w:val="none"/>
        </w:rPr>
      </w:pPr>
      <w:r>
        <w:rPr>
          <w:rFonts w:hint="eastAsia"/>
          <w:sz w:val="24"/>
          <w:szCs w:val="24"/>
          <w:highlight w:val="none"/>
        </w:rPr>
        <w:t>2、江苏吴中医药销售有限公司。注册地点：苏州市；法定代表人：</w:t>
      </w:r>
      <w:r>
        <w:rPr>
          <w:rFonts w:hint="eastAsia"/>
          <w:sz w:val="24"/>
          <w:szCs w:val="24"/>
          <w:highlight w:val="none"/>
          <w:lang w:val="en-US" w:eastAsia="zh-CN"/>
        </w:rPr>
        <w:t>胡开方</w:t>
      </w:r>
      <w:r>
        <w:rPr>
          <w:rFonts w:hint="eastAsia"/>
          <w:sz w:val="24"/>
          <w:szCs w:val="24"/>
          <w:highlight w:val="none"/>
        </w:rPr>
        <w:t>；经营范围：销售:药品、医疗器械、日用百货、化妆品、消杀剂(不含危险品);普通货物仓储;道路普通货物运输;市场调查;经济信息咨询;企业信息咨询;展览展示服务;会务服务;文化艺术交流活动策划;市场营销策划;企业形象策划;会展策划;企业管理服务;商务信息咨询服务。(依法须经批准的项目,经相关部门批准后方可开展经营活动)</w:t>
      </w:r>
    </w:p>
    <w:p w14:paraId="0F48CD01">
      <w:pPr>
        <w:keepNext w:val="0"/>
        <w:keepLines w:val="0"/>
        <w:pageBreakBefore w:val="0"/>
        <w:widowControl/>
        <w:kinsoku/>
        <w:wordWrap/>
        <w:overflowPunct/>
        <w:topLinePunct w:val="0"/>
        <w:bidi w:val="0"/>
        <w:snapToGrid/>
        <w:ind w:firstLine="480" w:firstLineChars="200"/>
        <w:textAlignment w:val="auto"/>
        <w:rPr>
          <w:sz w:val="24"/>
          <w:szCs w:val="24"/>
          <w:highlight w:val="none"/>
        </w:rPr>
      </w:pPr>
      <w:r>
        <w:rPr>
          <w:rFonts w:hint="eastAsia"/>
          <w:sz w:val="24"/>
          <w:szCs w:val="24"/>
          <w:highlight w:val="none"/>
        </w:rPr>
        <w:t>与上市公司的关联关系：本公司全资子公司江苏吴中医药集团有限公司的全资子公司。</w:t>
      </w:r>
    </w:p>
    <w:p w14:paraId="71E7C2D3">
      <w:pPr>
        <w:keepNext w:val="0"/>
        <w:keepLines w:val="0"/>
        <w:pageBreakBefore w:val="0"/>
        <w:widowControl/>
        <w:kinsoku/>
        <w:wordWrap/>
        <w:overflowPunct/>
        <w:topLinePunct w:val="0"/>
        <w:bidi w:val="0"/>
        <w:snapToGrid/>
        <w:ind w:firstLine="480" w:firstLineChars="200"/>
        <w:textAlignment w:val="auto"/>
        <w:rPr>
          <w:rFonts w:hint="eastAsia"/>
          <w:sz w:val="24"/>
          <w:szCs w:val="24"/>
        </w:rPr>
      </w:pPr>
      <w:r>
        <w:rPr>
          <w:rFonts w:hint="eastAsia"/>
          <w:sz w:val="24"/>
          <w:szCs w:val="24"/>
          <w:highlight w:val="none"/>
        </w:rPr>
        <w:t>江苏吴中医药销售有限公司2023年末资产总额89,842.66万元，负债总额71,749.43万元，其中：流动负债总额71,749.43万元、银行贷款总额26,031.68万元，净资产18,093.23万元，净利润62.61万元。</w:t>
      </w:r>
    </w:p>
    <w:p w14:paraId="3D8D95C4">
      <w:pPr>
        <w:keepNext w:val="0"/>
        <w:keepLines w:val="0"/>
        <w:pageBreakBefore w:val="0"/>
        <w:widowControl/>
        <w:kinsoku/>
        <w:wordWrap/>
        <w:overflowPunct/>
        <w:topLinePunct w:val="0"/>
        <w:bidi w:val="0"/>
        <w:snapToGrid/>
        <w:ind w:firstLine="482" w:firstLineChars="200"/>
        <w:textAlignment w:val="auto"/>
        <w:rPr>
          <w:b/>
          <w:sz w:val="24"/>
          <w:szCs w:val="24"/>
        </w:rPr>
      </w:pPr>
    </w:p>
    <w:p w14:paraId="02328FB3">
      <w:pPr>
        <w:keepNext w:val="0"/>
        <w:keepLines w:val="0"/>
        <w:pageBreakBefore w:val="0"/>
        <w:widowControl/>
        <w:kinsoku/>
        <w:wordWrap/>
        <w:overflowPunct/>
        <w:topLinePunct w:val="0"/>
        <w:bidi w:val="0"/>
        <w:snapToGrid/>
        <w:ind w:firstLine="482" w:firstLineChars="200"/>
        <w:textAlignment w:val="auto"/>
        <w:rPr>
          <w:b/>
          <w:sz w:val="24"/>
          <w:szCs w:val="24"/>
        </w:rPr>
      </w:pPr>
      <w:r>
        <w:rPr>
          <w:rFonts w:hint="eastAsia"/>
          <w:b/>
          <w:sz w:val="24"/>
          <w:szCs w:val="24"/>
        </w:rPr>
        <w:t>三、担保协议主要内容</w:t>
      </w:r>
    </w:p>
    <w:p w14:paraId="391D42C5">
      <w:pPr>
        <w:keepNext w:val="0"/>
        <w:keepLines w:val="0"/>
        <w:pageBreakBefore w:val="0"/>
        <w:widowControl/>
        <w:kinsoku/>
        <w:wordWrap/>
        <w:overflowPunct/>
        <w:topLinePunct w:val="0"/>
        <w:bidi w:val="0"/>
        <w:snapToGrid/>
        <w:ind w:firstLine="480" w:firstLineChars="200"/>
        <w:textAlignment w:val="auto"/>
        <w:rPr>
          <w:rFonts w:hint="eastAsia"/>
          <w:sz w:val="24"/>
          <w:szCs w:val="24"/>
        </w:rPr>
      </w:pPr>
      <w:r>
        <w:rPr>
          <w:rFonts w:hint="eastAsia"/>
          <w:sz w:val="24"/>
          <w:szCs w:val="24"/>
        </w:rPr>
        <w:t>担保协议尚未签署，具体担保金额、担保期限、担保方式等具体内容以与相关金融机构签署的协议约定为准。</w:t>
      </w:r>
    </w:p>
    <w:p w14:paraId="23E78052">
      <w:pPr>
        <w:keepNext w:val="0"/>
        <w:keepLines w:val="0"/>
        <w:pageBreakBefore w:val="0"/>
        <w:widowControl/>
        <w:kinsoku/>
        <w:wordWrap/>
        <w:overflowPunct/>
        <w:topLinePunct w:val="0"/>
        <w:bidi w:val="0"/>
        <w:snapToGrid/>
        <w:ind w:firstLine="480" w:firstLineChars="200"/>
        <w:textAlignment w:val="auto"/>
        <w:rPr>
          <w:sz w:val="24"/>
          <w:szCs w:val="24"/>
        </w:rPr>
      </w:pPr>
    </w:p>
    <w:p w14:paraId="7052D794">
      <w:pPr>
        <w:keepNext w:val="0"/>
        <w:keepLines w:val="0"/>
        <w:pageBreakBefore w:val="0"/>
        <w:widowControl/>
        <w:kinsoku/>
        <w:wordWrap/>
        <w:overflowPunct/>
        <w:topLinePunct w:val="0"/>
        <w:bidi w:val="0"/>
        <w:snapToGrid/>
        <w:ind w:firstLine="482" w:firstLineChars="200"/>
        <w:textAlignment w:val="auto"/>
        <w:rPr>
          <w:rFonts w:hint="eastAsia"/>
          <w:b/>
          <w:sz w:val="24"/>
          <w:szCs w:val="24"/>
        </w:rPr>
      </w:pPr>
      <w:r>
        <w:rPr>
          <w:rFonts w:hint="eastAsia"/>
          <w:b/>
          <w:sz w:val="24"/>
          <w:szCs w:val="24"/>
        </w:rPr>
        <w:t>四、担保的必要性和合理性</w:t>
      </w:r>
    </w:p>
    <w:p w14:paraId="2B7DCBDD">
      <w:pPr>
        <w:keepNext w:val="0"/>
        <w:keepLines w:val="0"/>
        <w:pageBreakBefore w:val="0"/>
        <w:widowControl/>
        <w:kinsoku/>
        <w:wordWrap/>
        <w:overflowPunct/>
        <w:topLinePunct w:val="0"/>
        <w:bidi w:val="0"/>
        <w:snapToGrid/>
        <w:ind w:firstLine="480" w:firstLineChars="200"/>
        <w:textAlignment w:val="auto"/>
        <w:rPr>
          <w:rFonts w:hint="eastAsia"/>
          <w:sz w:val="24"/>
          <w:szCs w:val="24"/>
        </w:rPr>
      </w:pPr>
      <w:r>
        <w:rPr>
          <w:rFonts w:hint="eastAsia"/>
          <w:sz w:val="24"/>
          <w:szCs w:val="24"/>
        </w:rPr>
        <w:t>本次担保系公司合并报表范围内子公司之间发生的担保，是基于下属子公司业务发展需要开展的实际融资需求，可有效支持公司日常经营发展。各被担保子公司目前业务经营稳定，资信状况良好，担保风险可控，本次担保不存在损害公司及广大股东利益的情形。</w:t>
      </w:r>
    </w:p>
    <w:p w14:paraId="08CF0FA7">
      <w:pPr>
        <w:keepNext w:val="0"/>
        <w:keepLines w:val="0"/>
        <w:pageBreakBefore w:val="0"/>
        <w:widowControl/>
        <w:kinsoku/>
        <w:wordWrap/>
        <w:overflowPunct/>
        <w:topLinePunct w:val="0"/>
        <w:bidi w:val="0"/>
        <w:snapToGrid/>
        <w:ind w:firstLine="480" w:firstLineChars="200"/>
        <w:textAlignment w:val="auto"/>
        <w:rPr>
          <w:rFonts w:hint="eastAsia"/>
          <w:sz w:val="24"/>
          <w:szCs w:val="24"/>
        </w:rPr>
      </w:pPr>
    </w:p>
    <w:p w14:paraId="37D10CC7">
      <w:pPr>
        <w:keepNext w:val="0"/>
        <w:keepLines w:val="0"/>
        <w:pageBreakBefore w:val="0"/>
        <w:widowControl/>
        <w:kinsoku/>
        <w:wordWrap/>
        <w:overflowPunct/>
        <w:topLinePunct w:val="0"/>
        <w:bidi w:val="0"/>
        <w:snapToGrid/>
        <w:ind w:firstLine="482" w:firstLineChars="200"/>
        <w:textAlignment w:val="auto"/>
        <w:rPr>
          <w:b/>
          <w:sz w:val="24"/>
          <w:szCs w:val="24"/>
        </w:rPr>
      </w:pPr>
      <w:r>
        <w:rPr>
          <w:rFonts w:hint="eastAsia"/>
          <w:b/>
          <w:sz w:val="24"/>
          <w:szCs w:val="24"/>
        </w:rPr>
        <w:t>五</w:t>
      </w:r>
      <w:r>
        <w:rPr>
          <w:b/>
          <w:sz w:val="24"/>
          <w:szCs w:val="24"/>
        </w:rPr>
        <w:t>、董事会意见</w:t>
      </w:r>
    </w:p>
    <w:p w14:paraId="48C16861">
      <w:pPr>
        <w:keepNext w:val="0"/>
        <w:keepLines w:val="0"/>
        <w:pageBreakBefore w:val="0"/>
        <w:widowControl/>
        <w:kinsoku/>
        <w:wordWrap/>
        <w:overflowPunct/>
        <w:topLinePunct w:val="0"/>
        <w:bidi w:val="0"/>
        <w:snapToGrid/>
        <w:ind w:firstLine="480" w:firstLineChars="200"/>
        <w:textAlignment w:val="auto"/>
        <w:rPr>
          <w:rFonts w:hint="eastAsia"/>
          <w:sz w:val="24"/>
          <w:szCs w:val="24"/>
        </w:rPr>
      </w:pPr>
      <w:r>
        <w:rPr>
          <w:rFonts w:hint="eastAsia"/>
          <w:sz w:val="24"/>
          <w:szCs w:val="24"/>
        </w:rPr>
        <w:t>鉴于上述公司为本公司全资子公司和全资孙公司，也是本公司的主要经营实体，本次担保有效支持公司下属企业日常经营发展开展的融资需求，董事会同意为其提供担保。</w:t>
      </w:r>
    </w:p>
    <w:p w14:paraId="5BCD0B5A">
      <w:pPr>
        <w:keepNext w:val="0"/>
        <w:keepLines w:val="0"/>
        <w:pageBreakBefore w:val="0"/>
        <w:widowControl/>
        <w:kinsoku/>
        <w:wordWrap/>
        <w:overflowPunct/>
        <w:topLinePunct w:val="0"/>
        <w:bidi w:val="0"/>
        <w:snapToGrid/>
        <w:ind w:firstLine="480" w:firstLineChars="200"/>
        <w:textAlignment w:val="auto"/>
        <w:rPr>
          <w:sz w:val="24"/>
          <w:szCs w:val="24"/>
        </w:rPr>
      </w:pPr>
    </w:p>
    <w:p w14:paraId="40C606A3">
      <w:pPr>
        <w:keepNext w:val="0"/>
        <w:keepLines w:val="0"/>
        <w:pageBreakBefore w:val="0"/>
        <w:widowControl/>
        <w:kinsoku/>
        <w:wordWrap/>
        <w:overflowPunct/>
        <w:topLinePunct w:val="0"/>
        <w:bidi w:val="0"/>
        <w:snapToGrid/>
        <w:ind w:firstLine="482" w:firstLineChars="200"/>
        <w:textAlignment w:val="auto"/>
        <w:rPr>
          <w:b/>
          <w:sz w:val="24"/>
          <w:szCs w:val="24"/>
        </w:rPr>
      </w:pPr>
      <w:r>
        <w:rPr>
          <w:rFonts w:hint="eastAsia"/>
          <w:b/>
          <w:sz w:val="24"/>
          <w:szCs w:val="24"/>
        </w:rPr>
        <w:t>六</w:t>
      </w:r>
      <w:r>
        <w:rPr>
          <w:b/>
          <w:sz w:val="24"/>
          <w:szCs w:val="24"/>
        </w:rPr>
        <w:t>、累计对外担保数量及逾期担保的数量</w:t>
      </w:r>
    </w:p>
    <w:p w14:paraId="53DE8216">
      <w:pPr>
        <w:keepNext w:val="0"/>
        <w:keepLines w:val="0"/>
        <w:pageBreakBefore w:val="0"/>
        <w:widowControl/>
        <w:kinsoku/>
        <w:wordWrap/>
        <w:overflowPunct/>
        <w:topLinePunct w:val="0"/>
        <w:bidi w:val="0"/>
        <w:snapToGrid/>
        <w:ind w:firstLine="480" w:firstLineChars="200"/>
        <w:textAlignment w:val="auto"/>
        <w:rPr>
          <w:sz w:val="24"/>
          <w:szCs w:val="24"/>
        </w:rPr>
      </w:pPr>
      <w:r>
        <w:rPr>
          <w:rFonts w:hint="eastAsia"/>
          <w:sz w:val="24"/>
          <w:szCs w:val="24"/>
        </w:rPr>
        <w:t>截至本公告披露日，公司及下属子公司担保总额为</w:t>
      </w:r>
      <w:r>
        <w:rPr>
          <w:rFonts w:hint="eastAsia"/>
          <w:sz w:val="24"/>
          <w:szCs w:val="24"/>
          <w:lang w:val="en-US" w:eastAsia="zh-CN"/>
        </w:rPr>
        <w:t>142,843.57</w:t>
      </w:r>
      <w:r>
        <w:rPr>
          <w:rFonts w:hint="eastAsia"/>
          <w:sz w:val="24"/>
          <w:szCs w:val="24"/>
        </w:rPr>
        <w:t>万元（均为公司对所属全资子公司提供的担保），占公司最近一期经审计(2023年度)净资产</w:t>
      </w:r>
      <w:r>
        <w:rPr>
          <w:rFonts w:hint="eastAsia"/>
          <w:sz w:val="24"/>
          <w:szCs w:val="24"/>
          <w:lang w:val="en-US" w:eastAsia="zh-CN"/>
        </w:rPr>
        <w:t>81.91</w:t>
      </w:r>
      <w:r>
        <w:rPr>
          <w:rFonts w:hint="eastAsia"/>
          <w:sz w:val="24"/>
          <w:szCs w:val="24"/>
        </w:rPr>
        <w:t>%。公司不存在为控股股东和实际控制人及其关联人提供担保的情形，亦无逾期担保的情形。</w:t>
      </w:r>
    </w:p>
    <w:p w14:paraId="0FB786BE">
      <w:pPr>
        <w:keepNext w:val="0"/>
        <w:keepLines w:val="0"/>
        <w:pageBreakBefore w:val="0"/>
        <w:widowControl/>
        <w:kinsoku/>
        <w:wordWrap/>
        <w:overflowPunct/>
        <w:topLinePunct w:val="0"/>
        <w:bidi w:val="0"/>
        <w:snapToGrid/>
        <w:ind w:firstLine="480" w:firstLineChars="200"/>
        <w:textAlignment w:val="auto"/>
        <w:rPr>
          <w:rFonts w:hint="eastAsia"/>
          <w:sz w:val="24"/>
          <w:szCs w:val="24"/>
        </w:rPr>
      </w:pPr>
    </w:p>
    <w:p w14:paraId="7459E2C2">
      <w:pPr>
        <w:keepNext w:val="0"/>
        <w:keepLines w:val="0"/>
        <w:pageBreakBefore w:val="0"/>
        <w:widowControl/>
        <w:kinsoku/>
        <w:wordWrap/>
        <w:overflowPunct/>
        <w:topLinePunct w:val="0"/>
        <w:bidi w:val="0"/>
        <w:snapToGrid/>
        <w:ind w:firstLine="480" w:firstLineChars="200"/>
        <w:textAlignment w:val="auto"/>
        <w:rPr>
          <w:sz w:val="24"/>
          <w:szCs w:val="24"/>
        </w:rPr>
      </w:pPr>
      <w:r>
        <w:rPr>
          <w:rFonts w:hint="eastAsia"/>
          <w:sz w:val="24"/>
          <w:szCs w:val="24"/>
        </w:rPr>
        <w:t>特此公告。</w:t>
      </w:r>
    </w:p>
    <w:p w14:paraId="3F909EBE">
      <w:pPr>
        <w:keepNext w:val="0"/>
        <w:keepLines w:val="0"/>
        <w:pageBreakBefore w:val="0"/>
        <w:widowControl/>
        <w:kinsoku/>
        <w:wordWrap/>
        <w:overflowPunct/>
        <w:topLinePunct w:val="0"/>
        <w:bidi w:val="0"/>
        <w:snapToGrid/>
        <w:ind w:firstLine="480" w:firstLineChars="200"/>
        <w:textAlignment w:val="auto"/>
        <w:rPr>
          <w:sz w:val="24"/>
          <w:szCs w:val="24"/>
        </w:rPr>
      </w:pPr>
    </w:p>
    <w:p w14:paraId="02EBF0BC">
      <w:pPr>
        <w:keepNext w:val="0"/>
        <w:keepLines w:val="0"/>
        <w:pageBreakBefore w:val="0"/>
        <w:widowControl/>
        <w:kinsoku/>
        <w:wordWrap/>
        <w:overflowPunct/>
        <w:topLinePunct w:val="0"/>
        <w:bidi w:val="0"/>
        <w:snapToGrid/>
        <w:ind w:firstLine="480" w:firstLineChars="200"/>
        <w:jc w:val="right"/>
        <w:textAlignment w:val="auto"/>
        <w:rPr>
          <w:sz w:val="24"/>
          <w:szCs w:val="24"/>
        </w:rPr>
      </w:pPr>
      <w:r>
        <w:rPr>
          <w:rFonts w:hint="eastAsia"/>
          <w:sz w:val="24"/>
          <w:szCs w:val="24"/>
        </w:rPr>
        <w:t>江苏吴中医药发展股份有限公司</w:t>
      </w:r>
    </w:p>
    <w:p w14:paraId="22E8EF51">
      <w:pPr>
        <w:keepNext w:val="0"/>
        <w:keepLines w:val="0"/>
        <w:pageBreakBefore w:val="0"/>
        <w:widowControl/>
        <w:kinsoku/>
        <w:wordWrap/>
        <w:overflowPunct/>
        <w:topLinePunct w:val="0"/>
        <w:bidi w:val="0"/>
        <w:snapToGrid/>
        <w:ind w:right="480" w:firstLine="480" w:firstLineChars="200"/>
        <w:jc w:val="center"/>
        <w:textAlignment w:val="auto"/>
        <w:rPr>
          <w:sz w:val="24"/>
          <w:szCs w:val="24"/>
        </w:rPr>
      </w:pPr>
      <w:r>
        <w:rPr>
          <w:rFonts w:hint="eastAsia"/>
          <w:sz w:val="24"/>
          <w:szCs w:val="24"/>
        </w:rPr>
        <w:t xml:space="preserve">                                                 董事会</w:t>
      </w:r>
    </w:p>
    <w:p w14:paraId="57D41048">
      <w:pPr>
        <w:keepNext w:val="0"/>
        <w:keepLines w:val="0"/>
        <w:pageBreakBefore w:val="0"/>
        <w:widowControl/>
        <w:kinsoku/>
        <w:wordWrap/>
        <w:overflowPunct/>
        <w:topLinePunct w:val="0"/>
        <w:bidi w:val="0"/>
        <w:snapToGrid/>
        <w:ind w:firstLine="480" w:firstLineChars="200"/>
        <w:jc w:val="right"/>
        <w:textAlignment w:val="auto"/>
        <w:rPr>
          <w:sz w:val="24"/>
          <w:szCs w:val="24"/>
        </w:rPr>
      </w:pPr>
      <w:r>
        <w:rPr>
          <w:rFonts w:hint="eastAsia"/>
          <w:sz w:val="24"/>
          <w:szCs w:val="24"/>
        </w:rPr>
        <w:t xml:space="preserve">    2024年</w:t>
      </w:r>
      <w:r>
        <w:rPr>
          <w:rFonts w:hint="eastAsia"/>
          <w:sz w:val="24"/>
          <w:szCs w:val="24"/>
          <w:lang w:val="en-US" w:eastAsia="zh-CN"/>
        </w:rPr>
        <w:t>11</w:t>
      </w:r>
      <w:r>
        <w:rPr>
          <w:rFonts w:hint="eastAsia"/>
          <w:sz w:val="24"/>
          <w:szCs w:val="24"/>
        </w:rPr>
        <w:t>月</w:t>
      </w:r>
      <w:r>
        <w:rPr>
          <w:rFonts w:hint="eastAsia"/>
          <w:sz w:val="24"/>
          <w:szCs w:val="24"/>
          <w:lang w:val="en-US" w:eastAsia="zh-CN"/>
        </w:rPr>
        <w:t>5</w:t>
      </w:r>
      <w:r>
        <w:rPr>
          <w:rFonts w:hint="eastAsia"/>
          <w:sz w:val="24"/>
          <w:szCs w:val="24"/>
        </w:rPr>
        <w:t>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70"/>
      </w:pPr>
      <w:r>
        <w:separator/>
      </w:r>
    </w:p>
  </w:endnote>
  <w:endnote w:type="continuationSeparator" w:id="1">
    <w:p>
      <w:pPr>
        <w:spacing w:line="240" w:lineRule="auto"/>
        <w:ind w:firstLine="47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70"/>
      </w:pPr>
      <w:r>
        <w:separator/>
      </w:r>
    </w:p>
  </w:footnote>
  <w:footnote w:type="continuationSeparator" w:id="1">
    <w:p>
      <w:pPr>
        <w:spacing w:line="360" w:lineRule="auto"/>
        <w:ind w:firstLine="47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wMDkyNTZjMzMwNGNiNWI4YzBkN2FjZjU1MzgyMDgifQ=="/>
  </w:docVars>
  <w:rsids>
    <w:rsidRoot w:val="00EC0CE8"/>
    <w:rsid w:val="000052DC"/>
    <w:rsid w:val="0001153F"/>
    <w:rsid w:val="00015559"/>
    <w:rsid w:val="0003171D"/>
    <w:rsid w:val="00034EAF"/>
    <w:rsid w:val="000377FA"/>
    <w:rsid w:val="00037B42"/>
    <w:rsid w:val="00041473"/>
    <w:rsid w:val="0004594D"/>
    <w:rsid w:val="00047D5D"/>
    <w:rsid w:val="000514F9"/>
    <w:rsid w:val="000544D9"/>
    <w:rsid w:val="00055DC4"/>
    <w:rsid w:val="0007113B"/>
    <w:rsid w:val="00077985"/>
    <w:rsid w:val="000A235D"/>
    <w:rsid w:val="000A45F1"/>
    <w:rsid w:val="000C1D80"/>
    <w:rsid w:val="000C1EBF"/>
    <w:rsid w:val="000D5160"/>
    <w:rsid w:val="000D59A8"/>
    <w:rsid w:val="000E2525"/>
    <w:rsid w:val="000E5928"/>
    <w:rsid w:val="000E7F53"/>
    <w:rsid w:val="001044FC"/>
    <w:rsid w:val="00115DE0"/>
    <w:rsid w:val="00125BE8"/>
    <w:rsid w:val="00125EB5"/>
    <w:rsid w:val="001302DF"/>
    <w:rsid w:val="00141A30"/>
    <w:rsid w:val="0014235B"/>
    <w:rsid w:val="001449C0"/>
    <w:rsid w:val="00150AA0"/>
    <w:rsid w:val="00151157"/>
    <w:rsid w:val="00163205"/>
    <w:rsid w:val="00164A15"/>
    <w:rsid w:val="00166131"/>
    <w:rsid w:val="00167B35"/>
    <w:rsid w:val="00173650"/>
    <w:rsid w:val="001741A0"/>
    <w:rsid w:val="00184711"/>
    <w:rsid w:val="00190F6C"/>
    <w:rsid w:val="00191EDF"/>
    <w:rsid w:val="00194544"/>
    <w:rsid w:val="00195AFB"/>
    <w:rsid w:val="001A6F91"/>
    <w:rsid w:val="001A7066"/>
    <w:rsid w:val="001C16DA"/>
    <w:rsid w:val="001D0721"/>
    <w:rsid w:val="001D198B"/>
    <w:rsid w:val="001E39C4"/>
    <w:rsid w:val="001E49FF"/>
    <w:rsid w:val="001E57CA"/>
    <w:rsid w:val="001F698F"/>
    <w:rsid w:val="001F7961"/>
    <w:rsid w:val="00201E57"/>
    <w:rsid w:val="00204DB0"/>
    <w:rsid w:val="002101B8"/>
    <w:rsid w:val="002127B8"/>
    <w:rsid w:val="00227A64"/>
    <w:rsid w:val="00233C64"/>
    <w:rsid w:val="002343EA"/>
    <w:rsid w:val="002442A3"/>
    <w:rsid w:val="0025056C"/>
    <w:rsid w:val="00251C73"/>
    <w:rsid w:val="00256018"/>
    <w:rsid w:val="002561CC"/>
    <w:rsid w:val="0025726D"/>
    <w:rsid w:val="0025795B"/>
    <w:rsid w:val="00266464"/>
    <w:rsid w:val="00270486"/>
    <w:rsid w:val="0027220C"/>
    <w:rsid w:val="002808AB"/>
    <w:rsid w:val="00284CD2"/>
    <w:rsid w:val="0029251A"/>
    <w:rsid w:val="00297F43"/>
    <w:rsid w:val="002A1B60"/>
    <w:rsid w:val="002B5713"/>
    <w:rsid w:val="002B7CCB"/>
    <w:rsid w:val="002C43B8"/>
    <w:rsid w:val="002C71E7"/>
    <w:rsid w:val="002D2369"/>
    <w:rsid w:val="002D4C8C"/>
    <w:rsid w:val="002F64AF"/>
    <w:rsid w:val="002F74DC"/>
    <w:rsid w:val="003066C0"/>
    <w:rsid w:val="00314E63"/>
    <w:rsid w:val="00324EB8"/>
    <w:rsid w:val="003307ED"/>
    <w:rsid w:val="003334F6"/>
    <w:rsid w:val="003402E8"/>
    <w:rsid w:val="00342CB6"/>
    <w:rsid w:val="003500B9"/>
    <w:rsid w:val="00353BA1"/>
    <w:rsid w:val="00360937"/>
    <w:rsid w:val="00361D69"/>
    <w:rsid w:val="00363847"/>
    <w:rsid w:val="0037324C"/>
    <w:rsid w:val="00373349"/>
    <w:rsid w:val="0038210C"/>
    <w:rsid w:val="003870CC"/>
    <w:rsid w:val="0039345A"/>
    <w:rsid w:val="003A1590"/>
    <w:rsid w:val="003B1B7B"/>
    <w:rsid w:val="003B1D84"/>
    <w:rsid w:val="003B48EE"/>
    <w:rsid w:val="003B5345"/>
    <w:rsid w:val="003C607D"/>
    <w:rsid w:val="003D0C3B"/>
    <w:rsid w:val="003D3FFF"/>
    <w:rsid w:val="003D798A"/>
    <w:rsid w:val="003E2FD2"/>
    <w:rsid w:val="003E355B"/>
    <w:rsid w:val="003E428F"/>
    <w:rsid w:val="003F082A"/>
    <w:rsid w:val="003F3876"/>
    <w:rsid w:val="003F5DA1"/>
    <w:rsid w:val="00417107"/>
    <w:rsid w:val="0041720E"/>
    <w:rsid w:val="0042410C"/>
    <w:rsid w:val="004374BE"/>
    <w:rsid w:val="00442C15"/>
    <w:rsid w:val="00444265"/>
    <w:rsid w:val="004502F4"/>
    <w:rsid w:val="00454299"/>
    <w:rsid w:val="004667F2"/>
    <w:rsid w:val="00475AC0"/>
    <w:rsid w:val="00483CCC"/>
    <w:rsid w:val="004958E0"/>
    <w:rsid w:val="00496E8A"/>
    <w:rsid w:val="004A2FF3"/>
    <w:rsid w:val="004A41EF"/>
    <w:rsid w:val="004A44DF"/>
    <w:rsid w:val="004A5CF2"/>
    <w:rsid w:val="004B70B1"/>
    <w:rsid w:val="004B7E3E"/>
    <w:rsid w:val="004C0C76"/>
    <w:rsid w:val="004C27B9"/>
    <w:rsid w:val="004C3A3E"/>
    <w:rsid w:val="004C3DB4"/>
    <w:rsid w:val="004D2BA0"/>
    <w:rsid w:val="004E363D"/>
    <w:rsid w:val="004F1ED6"/>
    <w:rsid w:val="004F1F15"/>
    <w:rsid w:val="004F2DC4"/>
    <w:rsid w:val="004F65E5"/>
    <w:rsid w:val="005014D1"/>
    <w:rsid w:val="00511D69"/>
    <w:rsid w:val="00517C61"/>
    <w:rsid w:val="0052512A"/>
    <w:rsid w:val="0054211F"/>
    <w:rsid w:val="00542DA0"/>
    <w:rsid w:val="0054311D"/>
    <w:rsid w:val="005477DA"/>
    <w:rsid w:val="005542A7"/>
    <w:rsid w:val="00555131"/>
    <w:rsid w:val="00557690"/>
    <w:rsid w:val="00565A1F"/>
    <w:rsid w:val="005712CB"/>
    <w:rsid w:val="005737FA"/>
    <w:rsid w:val="00577CBB"/>
    <w:rsid w:val="00580E39"/>
    <w:rsid w:val="00586622"/>
    <w:rsid w:val="00591636"/>
    <w:rsid w:val="005B1E58"/>
    <w:rsid w:val="005B4F18"/>
    <w:rsid w:val="005C3668"/>
    <w:rsid w:val="005D417A"/>
    <w:rsid w:val="005D4ACB"/>
    <w:rsid w:val="005D5EDA"/>
    <w:rsid w:val="005E4AFF"/>
    <w:rsid w:val="005E636F"/>
    <w:rsid w:val="005E6581"/>
    <w:rsid w:val="005F0AEF"/>
    <w:rsid w:val="00606509"/>
    <w:rsid w:val="00607AF5"/>
    <w:rsid w:val="00615D49"/>
    <w:rsid w:val="006412D7"/>
    <w:rsid w:val="0064149B"/>
    <w:rsid w:val="006446F0"/>
    <w:rsid w:val="00645C77"/>
    <w:rsid w:val="00647683"/>
    <w:rsid w:val="00654400"/>
    <w:rsid w:val="00662769"/>
    <w:rsid w:val="00663516"/>
    <w:rsid w:val="00666FDD"/>
    <w:rsid w:val="0067327D"/>
    <w:rsid w:val="00682D83"/>
    <w:rsid w:val="00683AED"/>
    <w:rsid w:val="00684E5D"/>
    <w:rsid w:val="0069424B"/>
    <w:rsid w:val="00695D72"/>
    <w:rsid w:val="006A4EA1"/>
    <w:rsid w:val="006A5C1A"/>
    <w:rsid w:val="006B29CA"/>
    <w:rsid w:val="006B2B65"/>
    <w:rsid w:val="006B7491"/>
    <w:rsid w:val="006C1D25"/>
    <w:rsid w:val="006E12CC"/>
    <w:rsid w:val="006E3711"/>
    <w:rsid w:val="007001F0"/>
    <w:rsid w:val="007014FC"/>
    <w:rsid w:val="00712B2A"/>
    <w:rsid w:val="007228CA"/>
    <w:rsid w:val="007230C3"/>
    <w:rsid w:val="0075060C"/>
    <w:rsid w:val="007564B5"/>
    <w:rsid w:val="0076676A"/>
    <w:rsid w:val="00766EEB"/>
    <w:rsid w:val="00772706"/>
    <w:rsid w:val="00772A33"/>
    <w:rsid w:val="0078609E"/>
    <w:rsid w:val="007918EE"/>
    <w:rsid w:val="007A1575"/>
    <w:rsid w:val="007A5188"/>
    <w:rsid w:val="007C79A9"/>
    <w:rsid w:val="007C7BAF"/>
    <w:rsid w:val="007E3476"/>
    <w:rsid w:val="00802A0A"/>
    <w:rsid w:val="00824AB0"/>
    <w:rsid w:val="008378DC"/>
    <w:rsid w:val="00837AFB"/>
    <w:rsid w:val="008412C9"/>
    <w:rsid w:val="008667DA"/>
    <w:rsid w:val="00887DA0"/>
    <w:rsid w:val="0089111B"/>
    <w:rsid w:val="00893296"/>
    <w:rsid w:val="008935D4"/>
    <w:rsid w:val="00893717"/>
    <w:rsid w:val="008A72B1"/>
    <w:rsid w:val="008B3703"/>
    <w:rsid w:val="008B3DD4"/>
    <w:rsid w:val="008B43ED"/>
    <w:rsid w:val="008B4735"/>
    <w:rsid w:val="008C0E07"/>
    <w:rsid w:val="008E57CC"/>
    <w:rsid w:val="008F5155"/>
    <w:rsid w:val="008F6AB5"/>
    <w:rsid w:val="00911EA8"/>
    <w:rsid w:val="009201CF"/>
    <w:rsid w:val="00933FA5"/>
    <w:rsid w:val="00934104"/>
    <w:rsid w:val="0094672C"/>
    <w:rsid w:val="00955A3F"/>
    <w:rsid w:val="00960430"/>
    <w:rsid w:val="00967AA4"/>
    <w:rsid w:val="00972218"/>
    <w:rsid w:val="009841CB"/>
    <w:rsid w:val="00993061"/>
    <w:rsid w:val="00995DC5"/>
    <w:rsid w:val="009C02F7"/>
    <w:rsid w:val="009E1FA0"/>
    <w:rsid w:val="009E2B50"/>
    <w:rsid w:val="009E3014"/>
    <w:rsid w:val="009F0BB3"/>
    <w:rsid w:val="00A05A16"/>
    <w:rsid w:val="00A06832"/>
    <w:rsid w:val="00A12595"/>
    <w:rsid w:val="00A1341B"/>
    <w:rsid w:val="00A13AC5"/>
    <w:rsid w:val="00A1423D"/>
    <w:rsid w:val="00A204FB"/>
    <w:rsid w:val="00A205C1"/>
    <w:rsid w:val="00A206E4"/>
    <w:rsid w:val="00A267F9"/>
    <w:rsid w:val="00A31603"/>
    <w:rsid w:val="00A33C57"/>
    <w:rsid w:val="00A34683"/>
    <w:rsid w:val="00A36051"/>
    <w:rsid w:val="00A37C3C"/>
    <w:rsid w:val="00A42891"/>
    <w:rsid w:val="00A43F1A"/>
    <w:rsid w:val="00A51FF0"/>
    <w:rsid w:val="00A72475"/>
    <w:rsid w:val="00A842DF"/>
    <w:rsid w:val="00A950B9"/>
    <w:rsid w:val="00A973BC"/>
    <w:rsid w:val="00A97CDC"/>
    <w:rsid w:val="00AA10D4"/>
    <w:rsid w:val="00AA706B"/>
    <w:rsid w:val="00AB0CFB"/>
    <w:rsid w:val="00AB15F8"/>
    <w:rsid w:val="00AB2664"/>
    <w:rsid w:val="00AB53AC"/>
    <w:rsid w:val="00AB6C97"/>
    <w:rsid w:val="00AC11D0"/>
    <w:rsid w:val="00AC7ABF"/>
    <w:rsid w:val="00AD0003"/>
    <w:rsid w:val="00AD7DEB"/>
    <w:rsid w:val="00AE164E"/>
    <w:rsid w:val="00AF2D31"/>
    <w:rsid w:val="00AF45BF"/>
    <w:rsid w:val="00AF476E"/>
    <w:rsid w:val="00B03668"/>
    <w:rsid w:val="00B07E79"/>
    <w:rsid w:val="00B17AF8"/>
    <w:rsid w:val="00B27494"/>
    <w:rsid w:val="00B27508"/>
    <w:rsid w:val="00B31A8D"/>
    <w:rsid w:val="00B369BE"/>
    <w:rsid w:val="00B40795"/>
    <w:rsid w:val="00B40E4D"/>
    <w:rsid w:val="00B52013"/>
    <w:rsid w:val="00B57C2F"/>
    <w:rsid w:val="00B6133D"/>
    <w:rsid w:val="00B83EF8"/>
    <w:rsid w:val="00B8668B"/>
    <w:rsid w:val="00B87AB6"/>
    <w:rsid w:val="00B929E0"/>
    <w:rsid w:val="00BA1EF6"/>
    <w:rsid w:val="00BA46C7"/>
    <w:rsid w:val="00BB5C59"/>
    <w:rsid w:val="00BB5E17"/>
    <w:rsid w:val="00BB5F62"/>
    <w:rsid w:val="00BC66C9"/>
    <w:rsid w:val="00BC7D27"/>
    <w:rsid w:val="00BD4D24"/>
    <w:rsid w:val="00BE0A0A"/>
    <w:rsid w:val="00BE3BD4"/>
    <w:rsid w:val="00BE54FC"/>
    <w:rsid w:val="00BE7989"/>
    <w:rsid w:val="00BF4473"/>
    <w:rsid w:val="00BF5380"/>
    <w:rsid w:val="00BF68F7"/>
    <w:rsid w:val="00C01D90"/>
    <w:rsid w:val="00C041CE"/>
    <w:rsid w:val="00C1036D"/>
    <w:rsid w:val="00C14435"/>
    <w:rsid w:val="00C16B1A"/>
    <w:rsid w:val="00C37A71"/>
    <w:rsid w:val="00C442D1"/>
    <w:rsid w:val="00C504E4"/>
    <w:rsid w:val="00C51C5F"/>
    <w:rsid w:val="00C62BAA"/>
    <w:rsid w:val="00C65924"/>
    <w:rsid w:val="00C66833"/>
    <w:rsid w:val="00C6792D"/>
    <w:rsid w:val="00C71DAA"/>
    <w:rsid w:val="00C7422F"/>
    <w:rsid w:val="00C745A9"/>
    <w:rsid w:val="00C76C95"/>
    <w:rsid w:val="00C770B6"/>
    <w:rsid w:val="00C77455"/>
    <w:rsid w:val="00C77936"/>
    <w:rsid w:val="00C77C63"/>
    <w:rsid w:val="00C8490D"/>
    <w:rsid w:val="00C84E9B"/>
    <w:rsid w:val="00C875F5"/>
    <w:rsid w:val="00CA1004"/>
    <w:rsid w:val="00CB29F7"/>
    <w:rsid w:val="00CB2DCE"/>
    <w:rsid w:val="00CB5CB0"/>
    <w:rsid w:val="00CC1328"/>
    <w:rsid w:val="00CC65AD"/>
    <w:rsid w:val="00CC7C0B"/>
    <w:rsid w:val="00CD12A5"/>
    <w:rsid w:val="00CD2A4D"/>
    <w:rsid w:val="00CD5891"/>
    <w:rsid w:val="00CD607E"/>
    <w:rsid w:val="00CD6EAB"/>
    <w:rsid w:val="00CD7F62"/>
    <w:rsid w:val="00CE3B3D"/>
    <w:rsid w:val="00CE4D8A"/>
    <w:rsid w:val="00CF2676"/>
    <w:rsid w:val="00CF42BE"/>
    <w:rsid w:val="00CF7E7A"/>
    <w:rsid w:val="00D0156B"/>
    <w:rsid w:val="00D04CBB"/>
    <w:rsid w:val="00D05E2F"/>
    <w:rsid w:val="00D141A5"/>
    <w:rsid w:val="00D21B8D"/>
    <w:rsid w:val="00D24824"/>
    <w:rsid w:val="00D26D15"/>
    <w:rsid w:val="00D3212E"/>
    <w:rsid w:val="00D431AD"/>
    <w:rsid w:val="00D45281"/>
    <w:rsid w:val="00D504B3"/>
    <w:rsid w:val="00D53DC4"/>
    <w:rsid w:val="00D601FE"/>
    <w:rsid w:val="00D6753A"/>
    <w:rsid w:val="00D7040A"/>
    <w:rsid w:val="00D71559"/>
    <w:rsid w:val="00D73864"/>
    <w:rsid w:val="00D77523"/>
    <w:rsid w:val="00D819D3"/>
    <w:rsid w:val="00D86A2F"/>
    <w:rsid w:val="00D909E7"/>
    <w:rsid w:val="00D90BC6"/>
    <w:rsid w:val="00D92B06"/>
    <w:rsid w:val="00D9452A"/>
    <w:rsid w:val="00DC0757"/>
    <w:rsid w:val="00DC4842"/>
    <w:rsid w:val="00DD409A"/>
    <w:rsid w:val="00DE24B3"/>
    <w:rsid w:val="00DE3893"/>
    <w:rsid w:val="00DF08C9"/>
    <w:rsid w:val="00DF4EC1"/>
    <w:rsid w:val="00E003D0"/>
    <w:rsid w:val="00E025CD"/>
    <w:rsid w:val="00E03C9D"/>
    <w:rsid w:val="00E05034"/>
    <w:rsid w:val="00E14AD6"/>
    <w:rsid w:val="00E220DE"/>
    <w:rsid w:val="00E26F68"/>
    <w:rsid w:val="00E30EA1"/>
    <w:rsid w:val="00E31233"/>
    <w:rsid w:val="00E35E5A"/>
    <w:rsid w:val="00E373CB"/>
    <w:rsid w:val="00E538A8"/>
    <w:rsid w:val="00E60B06"/>
    <w:rsid w:val="00E7189E"/>
    <w:rsid w:val="00E74755"/>
    <w:rsid w:val="00E74E4D"/>
    <w:rsid w:val="00E77D37"/>
    <w:rsid w:val="00E81D6C"/>
    <w:rsid w:val="00E90C0B"/>
    <w:rsid w:val="00E915EA"/>
    <w:rsid w:val="00E9529E"/>
    <w:rsid w:val="00E96761"/>
    <w:rsid w:val="00E97E93"/>
    <w:rsid w:val="00EA3750"/>
    <w:rsid w:val="00EA6444"/>
    <w:rsid w:val="00EB0FB2"/>
    <w:rsid w:val="00EB7FBA"/>
    <w:rsid w:val="00EC0CE8"/>
    <w:rsid w:val="00EC17AA"/>
    <w:rsid w:val="00ED4428"/>
    <w:rsid w:val="00ED6800"/>
    <w:rsid w:val="00ED753D"/>
    <w:rsid w:val="00EE1637"/>
    <w:rsid w:val="00EF0BCA"/>
    <w:rsid w:val="00EF67AA"/>
    <w:rsid w:val="00F03FA2"/>
    <w:rsid w:val="00F06616"/>
    <w:rsid w:val="00F07A0E"/>
    <w:rsid w:val="00F104B9"/>
    <w:rsid w:val="00F11687"/>
    <w:rsid w:val="00F13C59"/>
    <w:rsid w:val="00F161EE"/>
    <w:rsid w:val="00F16661"/>
    <w:rsid w:val="00F168FB"/>
    <w:rsid w:val="00F21312"/>
    <w:rsid w:val="00F22D6F"/>
    <w:rsid w:val="00F23D77"/>
    <w:rsid w:val="00F25681"/>
    <w:rsid w:val="00F3504C"/>
    <w:rsid w:val="00F41B3B"/>
    <w:rsid w:val="00F43502"/>
    <w:rsid w:val="00F642E6"/>
    <w:rsid w:val="00F75621"/>
    <w:rsid w:val="00F75B8D"/>
    <w:rsid w:val="00F7601B"/>
    <w:rsid w:val="00F84401"/>
    <w:rsid w:val="00F92A30"/>
    <w:rsid w:val="00FA5496"/>
    <w:rsid w:val="00FA5B22"/>
    <w:rsid w:val="00FB3375"/>
    <w:rsid w:val="00FB56C5"/>
    <w:rsid w:val="00FB79DD"/>
    <w:rsid w:val="00FC49C6"/>
    <w:rsid w:val="00FC5D84"/>
    <w:rsid w:val="00FD17D4"/>
    <w:rsid w:val="00FD212D"/>
    <w:rsid w:val="00FE4FBE"/>
    <w:rsid w:val="00FE57F0"/>
    <w:rsid w:val="00FE5ACA"/>
    <w:rsid w:val="00FF4417"/>
    <w:rsid w:val="00FF5D3B"/>
    <w:rsid w:val="011A6D05"/>
    <w:rsid w:val="0A9138A2"/>
    <w:rsid w:val="0CE642FD"/>
    <w:rsid w:val="0D733C91"/>
    <w:rsid w:val="0E1924B1"/>
    <w:rsid w:val="0E43752E"/>
    <w:rsid w:val="10140B57"/>
    <w:rsid w:val="10BD35C7"/>
    <w:rsid w:val="197F7E2E"/>
    <w:rsid w:val="1B482884"/>
    <w:rsid w:val="1C68008B"/>
    <w:rsid w:val="1D990F18"/>
    <w:rsid w:val="24FF3D57"/>
    <w:rsid w:val="2A18267C"/>
    <w:rsid w:val="2E2564DB"/>
    <w:rsid w:val="2E8F3293"/>
    <w:rsid w:val="2EA06786"/>
    <w:rsid w:val="30023EB9"/>
    <w:rsid w:val="31BE0A29"/>
    <w:rsid w:val="33D97E69"/>
    <w:rsid w:val="384F31EE"/>
    <w:rsid w:val="38F65019"/>
    <w:rsid w:val="3A2572CC"/>
    <w:rsid w:val="3BA24FE4"/>
    <w:rsid w:val="45633A36"/>
    <w:rsid w:val="473E2065"/>
    <w:rsid w:val="47855EE6"/>
    <w:rsid w:val="4968786D"/>
    <w:rsid w:val="4BAC72A2"/>
    <w:rsid w:val="4C8C32EA"/>
    <w:rsid w:val="4FD07F1A"/>
    <w:rsid w:val="50AF4592"/>
    <w:rsid w:val="52592449"/>
    <w:rsid w:val="53634C01"/>
    <w:rsid w:val="5D5A52C7"/>
    <w:rsid w:val="5EDB4C8E"/>
    <w:rsid w:val="638C3054"/>
    <w:rsid w:val="649367CF"/>
    <w:rsid w:val="64EA33D4"/>
    <w:rsid w:val="67801DCE"/>
    <w:rsid w:val="68A15380"/>
    <w:rsid w:val="6D8B30C2"/>
    <w:rsid w:val="6EF410D7"/>
    <w:rsid w:val="703A179D"/>
    <w:rsid w:val="757F0581"/>
    <w:rsid w:val="766D5146"/>
    <w:rsid w:val="7CA558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360" w:lineRule="auto"/>
      <w:ind w:firstLine="470" w:firstLineChars="196"/>
    </w:pPr>
    <w:rPr>
      <w:rFonts w:cs="宋体" w:asciiTheme="minorEastAsia" w:hAnsiTheme="minorEastAsia" w:eastAsiaTheme="minorEastAsia"/>
      <w:sz w:val="24"/>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autoRedefine/>
    <w:qFormat/>
    <w:uiPriority w:val="0"/>
    <w:pPr>
      <w:ind w:left="100" w:leftChars="2500"/>
    </w:pPr>
  </w:style>
  <w:style w:type="paragraph" w:styleId="3">
    <w:name w:val="footer"/>
    <w:basedOn w:val="1"/>
    <w:link w:val="9"/>
    <w:autoRedefine/>
    <w:unhideWhenUsed/>
    <w:qFormat/>
    <w:uiPriority w:val="99"/>
    <w:pPr>
      <w:tabs>
        <w:tab w:val="center" w:pos="4153"/>
        <w:tab w:val="right" w:pos="8306"/>
      </w:tabs>
      <w:snapToGrid w:val="0"/>
    </w:pPr>
    <w:rPr>
      <w:sz w:val="18"/>
      <w:szCs w:val="18"/>
    </w:rPr>
  </w:style>
  <w:style w:type="paragraph" w:styleId="4">
    <w:name w:val="header"/>
    <w:basedOn w:val="1"/>
    <w:link w:val="8"/>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autoRedefine/>
    <w:qFormat/>
    <w:uiPriority w:val="99"/>
    <w:rPr>
      <w:sz w:val="18"/>
      <w:szCs w:val="18"/>
    </w:rPr>
  </w:style>
  <w:style w:type="character" w:customStyle="1" w:styleId="9">
    <w:name w:val="页脚 Char"/>
    <w:basedOn w:val="7"/>
    <w:link w:val="3"/>
    <w:autoRedefine/>
    <w:qFormat/>
    <w:uiPriority w:val="99"/>
    <w:rPr>
      <w:sz w:val="18"/>
      <w:szCs w:val="18"/>
    </w:rPr>
  </w:style>
  <w:style w:type="character" w:customStyle="1" w:styleId="10">
    <w:name w:val="日期 Char"/>
    <w:basedOn w:val="7"/>
    <w:link w:val="2"/>
    <w:autoRedefine/>
    <w:qFormat/>
    <w:uiPriority w:val="0"/>
    <w:rPr>
      <w:rFonts w:ascii="Times New Roman" w:hAnsi="Times New Roman" w:eastAsia="宋体" w:cs="Times New Roman"/>
      <w:sz w:val="24"/>
      <w:szCs w:val="24"/>
    </w:rPr>
  </w:style>
  <w:style w:type="paragraph" w:customStyle="1" w:styleId="11">
    <w:name w:val="Default"/>
    <w:autoRedefine/>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styleId="12">
    <w:name w:val="List Paragraph"/>
    <w:basedOn w:val="1"/>
    <w:autoRedefine/>
    <w:unhideWhenUsed/>
    <w:qFormat/>
    <w:uiPriority w:val="99"/>
    <w:pPr>
      <w:ind w:firstLine="42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1646</Words>
  <Characters>1822</Characters>
  <Lines>13</Lines>
  <Paragraphs>3</Paragraphs>
  <TotalTime>52</TotalTime>
  <ScaleCrop>false</ScaleCrop>
  <LinksUpToDate>false</LinksUpToDate>
  <CharactersWithSpaces>1894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2024-04-23T11:30:00Z</dcterms:created>
  <dc:creator>李锐</dc:creator>
  <cp:lastModifiedBy>王雅杰</cp:lastModifiedBy>
  <cp:lastPrinted>2024-11-04T06:45:53Z</cp:lastPrinted>
  <dcterms:modified xsi:type="dcterms:W3CDTF">2024-11-04T06:55:04Z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0D5EA9F9DA0E458387581AE46AFAACF1</vt:lpwstr>
  </property>
</Properties>
</file>