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F320A">
      <w:pPr>
        <w:autoSpaceDE w:val="0"/>
        <w:autoSpaceDN w:val="0"/>
        <w:adjustRightInd w:val="0"/>
        <w:spacing w:line="360" w:lineRule="auto"/>
        <w:jc w:val="center"/>
        <w:rPr>
          <w:rFonts w:hint="default" w:ascii="黑体" w:hAnsi="宋体" w:eastAsia="宋体" w:cs="黑体"/>
          <w:kern w:val="0"/>
          <w:sz w:val="30"/>
          <w:szCs w:val="30"/>
          <w:highlight w:val="yellow"/>
          <w:lang w:val="en-US" w:eastAsia="zh-CN"/>
        </w:rPr>
      </w:pPr>
      <w:r>
        <w:rPr>
          <w:rFonts w:hint="eastAsia" w:ascii="宋体" w:hAnsi="宋体" w:cs="宋体"/>
          <w:kern w:val="0"/>
          <w:sz w:val="24"/>
        </w:rPr>
        <w:t>证券代码：</w:t>
      </w:r>
      <w:r>
        <w:rPr>
          <w:rFonts w:ascii="宋体" w:hAnsi="宋体" w:cs="Arial"/>
          <w:kern w:val="0"/>
          <w:sz w:val="24"/>
        </w:rPr>
        <w:t>600</w:t>
      </w:r>
      <w:r>
        <w:rPr>
          <w:rFonts w:hint="eastAsia" w:ascii="宋体" w:hAnsi="宋体" w:cs="Arial"/>
          <w:kern w:val="0"/>
          <w:sz w:val="24"/>
        </w:rPr>
        <w:t xml:space="preserve">200  </w:t>
      </w:r>
      <w:r>
        <w:rPr>
          <w:rFonts w:ascii="宋体" w:hAnsi="宋体" w:cs="Arial"/>
          <w:kern w:val="0"/>
          <w:sz w:val="24"/>
        </w:rPr>
        <w:t xml:space="preserve"> </w:t>
      </w:r>
      <w:r>
        <w:rPr>
          <w:rFonts w:hint="eastAsia" w:ascii="宋体" w:hAnsi="宋体" w:cs="Arial"/>
          <w:kern w:val="0"/>
          <w:sz w:val="24"/>
        </w:rPr>
        <w:t xml:space="preserve">      </w:t>
      </w:r>
      <w:r>
        <w:rPr>
          <w:rFonts w:hint="eastAsia" w:ascii="宋体" w:hAnsi="宋体" w:cs="宋体"/>
          <w:kern w:val="0"/>
          <w:sz w:val="24"/>
        </w:rPr>
        <w:t>证券简称：江苏吴中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 xml:space="preserve">     </w:t>
      </w:r>
      <w:r>
        <w:rPr>
          <w:rFonts w:hint="eastAsia" w:ascii="宋体" w:hAnsi="宋体" w:cs="宋体"/>
          <w:kern w:val="0"/>
          <w:sz w:val="24"/>
          <w:highlight w:val="none"/>
        </w:rPr>
        <w:t xml:space="preserve"> </w:t>
      </w:r>
      <w:r>
        <w:rPr>
          <w:rFonts w:hint="eastAsia" w:ascii="宋体" w:hAnsi="宋体" w:cs="Arial"/>
          <w:kern w:val="0"/>
          <w:sz w:val="24"/>
          <w:highlight w:val="none"/>
        </w:rPr>
        <w:t>公告编号：临2025-</w:t>
      </w:r>
      <w:r>
        <w:rPr>
          <w:rFonts w:hint="eastAsia" w:ascii="宋体" w:hAnsi="宋体" w:cs="Arial"/>
          <w:kern w:val="0"/>
          <w:sz w:val="24"/>
          <w:highlight w:val="none"/>
          <w:lang w:val="en-US" w:eastAsia="zh-CN"/>
        </w:rPr>
        <w:t>004</w:t>
      </w:r>
    </w:p>
    <w:p w14:paraId="3ACF626E">
      <w:pPr>
        <w:spacing w:line="360" w:lineRule="auto"/>
        <w:jc w:val="center"/>
        <w:rPr>
          <w:rFonts w:ascii="黑体" w:hAnsi="宋体" w:eastAsia="黑体"/>
          <w:b/>
          <w:bCs/>
          <w:color w:val="FF0000"/>
          <w:sz w:val="32"/>
          <w:szCs w:val="32"/>
        </w:rPr>
      </w:pPr>
    </w:p>
    <w:p w14:paraId="40FFE3A9">
      <w:pPr>
        <w:spacing w:line="360" w:lineRule="auto"/>
        <w:jc w:val="center"/>
        <w:rPr>
          <w:rFonts w:ascii="黑体" w:hAnsi="宋体" w:eastAsia="黑体"/>
          <w:b/>
          <w:bCs/>
          <w:color w:val="FF0000"/>
          <w:sz w:val="32"/>
          <w:szCs w:val="32"/>
        </w:rPr>
      </w:pPr>
      <w:r>
        <w:rPr>
          <w:rFonts w:hint="eastAsia" w:ascii="黑体" w:hAnsi="宋体" w:eastAsia="黑体"/>
          <w:b/>
          <w:bCs/>
          <w:color w:val="FF0000"/>
          <w:sz w:val="32"/>
          <w:szCs w:val="32"/>
        </w:rPr>
        <w:t>江苏吴中医药发展股份有限公司</w:t>
      </w:r>
    </w:p>
    <w:p w14:paraId="33CDB219">
      <w:pPr>
        <w:spacing w:line="360" w:lineRule="auto"/>
        <w:jc w:val="center"/>
        <w:rPr>
          <w:rFonts w:ascii="黑体" w:hAnsi="宋体" w:eastAsia="黑体"/>
          <w:b/>
          <w:bCs/>
          <w:color w:val="FF0000"/>
          <w:sz w:val="32"/>
          <w:szCs w:val="32"/>
        </w:rPr>
      </w:pPr>
      <w:r>
        <w:rPr>
          <w:rFonts w:hint="eastAsia" w:ascii="黑体" w:hAnsi="宋体" w:eastAsia="黑体"/>
          <w:b/>
          <w:bCs/>
          <w:color w:val="FF0000"/>
          <w:sz w:val="32"/>
          <w:szCs w:val="32"/>
        </w:rPr>
        <w:t>2024年</w:t>
      </w:r>
      <w:r>
        <w:rPr>
          <w:rFonts w:hint="eastAsia" w:ascii="黑体" w:hAnsi="宋体" w:eastAsia="黑体"/>
          <w:b/>
          <w:bCs/>
          <w:color w:val="FF0000"/>
          <w:sz w:val="32"/>
          <w:szCs w:val="32"/>
          <w:highlight w:val="none"/>
        </w:rPr>
        <w:t>度业绩预盈公告</w:t>
      </w:r>
    </w:p>
    <w:p w14:paraId="75362B8A">
      <w:pPr>
        <w:autoSpaceDE w:val="0"/>
        <w:autoSpaceDN w:val="0"/>
        <w:adjustRightInd w:val="0"/>
        <w:spacing w:line="360" w:lineRule="auto"/>
        <w:ind w:firstLine="482" w:firstLineChars="200"/>
        <w:rPr>
          <w:rFonts w:hint="eastAsia" w:ascii="ˎ̥" w:hAnsi="ˎ̥"/>
          <w:b/>
          <w:color w:val="000000"/>
          <w:sz w:val="24"/>
        </w:rPr>
      </w:pPr>
    </w:p>
    <w:p w14:paraId="3A3151C2">
      <w:pPr>
        <w:autoSpaceDE w:val="0"/>
        <w:autoSpaceDN w:val="0"/>
        <w:adjustRightInd w:val="0"/>
        <w:spacing w:line="360" w:lineRule="auto"/>
        <w:ind w:firstLine="482" w:firstLineChars="200"/>
        <w:rPr>
          <w:rFonts w:hint="eastAsia" w:ascii="ˎ̥" w:hAnsi="ˎ̥"/>
          <w:b/>
          <w:color w:val="000000"/>
          <w:sz w:val="24"/>
        </w:rPr>
      </w:pPr>
      <w:r>
        <w:rPr>
          <w:rFonts w:hint="eastAsia" w:ascii="ˎ̥" w:hAnsi="ˎ̥"/>
          <w:b/>
          <w:color w:val="000000"/>
          <w:sz w:val="24"/>
        </w:rPr>
        <w:t>本公司董事会及全体董事保证本公告内容不存在任何虚假记载、误导性陈述或者重大遗漏，并对其内容的真实性、准确性和完整性承担法律责任。</w:t>
      </w:r>
    </w:p>
    <w:p w14:paraId="111A467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ˎ̥" w:hAnsi="ˎ̥"/>
          <w:color w:val="000000"/>
          <w:sz w:val="24"/>
        </w:rPr>
      </w:pPr>
    </w:p>
    <w:p w14:paraId="380CEAB0">
      <w:pPr>
        <w:widowControl/>
        <w:spacing w:line="360" w:lineRule="auto"/>
        <w:jc w:val="left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重要内容提示：</w:t>
      </w:r>
    </w:p>
    <w:p w14:paraId="62943E06">
      <w:pPr>
        <w:pStyle w:val="6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业绩预告的具体适用情形：</w:t>
      </w:r>
      <w:r>
        <w:rPr>
          <w:rFonts w:hint="eastAsia" w:ascii="宋体" w:hAnsi="宋体" w:cs="宋体"/>
          <w:color w:val="000000"/>
          <w:kern w:val="0"/>
          <w:sz w:val="24"/>
          <w:highlight w:val="none"/>
        </w:rPr>
        <w:t>净利润实现扭亏</w:t>
      </w:r>
      <w:r>
        <w:rPr>
          <w:rFonts w:hint="eastAsia" w:ascii="宋体" w:hAnsi="宋体" w:cs="宋体"/>
          <w:color w:val="000000"/>
          <w:kern w:val="0"/>
          <w:sz w:val="24"/>
        </w:rPr>
        <w:t>为盈。</w:t>
      </w:r>
    </w:p>
    <w:p w14:paraId="6C1C4F15">
      <w:pPr>
        <w:pStyle w:val="6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业绩预告相关的主要财务数据情况：江苏吴中医药发展股份有限公司（以下简称“公司”或“上市公司”）预计2024年度实现归属于上市公司股东的净利润约5,5</w:t>
      </w:r>
      <w:r>
        <w:rPr>
          <w:rFonts w:ascii="宋体" w:hAnsi="宋体" w:cs="宋体"/>
          <w:color w:val="000000"/>
          <w:kern w:val="0"/>
          <w:sz w:val="24"/>
        </w:rPr>
        <w:t>00万元至</w:t>
      </w:r>
      <w:r>
        <w:rPr>
          <w:rFonts w:hint="eastAsia" w:ascii="宋体" w:hAnsi="宋体" w:cs="宋体"/>
          <w:color w:val="000000"/>
          <w:kern w:val="0"/>
          <w:sz w:val="24"/>
        </w:rPr>
        <w:t>8,0</w:t>
      </w:r>
      <w:r>
        <w:rPr>
          <w:rFonts w:ascii="宋体" w:hAnsi="宋体" w:cs="宋体"/>
          <w:color w:val="000000"/>
          <w:kern w:val="0"/>
          <w:sz w:val="24"/>
        </w:rPr>
        <w:t>00</w:t>
      </w:r>
      <w:r>
        <w:rPr>
          <w:rFonts w:hint="eastAsia" w:ascii="宋体" w:hAnsi="宋体" w:cs="宋体"/>
          <w:color w:val="000000"/>
          <w:kern w:val="0"/>
          <w:sz w:val="24"/>
        </w:rPr>
        <w:t>万元。预计2024年度实现归属于上市公司扣除非经常性损益的净利润约3,5</w:t>
      </w:r>
      <w:r>
        <w:rPr>
          <w:rFonts w:ascii="宋体" w:hAnsi="宋体" w:cs="宋体"/>
          <w:color w:val="000000"/>
          <w:kern w:val="0"/>
          <w:sz w:val="24"/>
        </w:rPr>
        <w:t>00</w:t>
      </w:r>
      <w:r>
        <w:rPr>
          <w:rFonts w:hint="eastAsia" w:ascii="宋体" w:hAnsi="宋体" w:cs="宋体"/>
          <w:color w:val="000000"/>
          <w:kern w:val="0"/>
          <w:sz w:val="24"/>
        </w:rPr>
        <w:t>万元至6,0</w:t>
      </w:r>
      <w:r>
        <w:rPr>
          <w:rFonts w:ascii="宋体" w:hAnsi="宋体" w:cs="宋体"/>
          <w:color w:val="000000"/>
          <w:kern w:val="0"/>
          <w:sz w:val="24"/>
        </w:rPr>
        <w:t>00万元。</w:t>
      </w:r>
    </w:p>
    <w:p w14:paraId="1512CFD8">
      <w:pPr>
        <w:widowControl/>
        <w:spacing w:line="360" w:lineRule="auto"/>
        <w:ind w:firstLine="480"/>
        <w:jc w:val="left"/>
        <w:rPr>
          <w:rFonts w:cs="宋体" w:asciiTheme="minorEastAsia" w:hAnsiTheme="minorEastAsia" w:eastAsiaTheme="minorEastAsia"/>
          <w:b/>
          <w:color w:val="000000"/>
          <w:kern w:val="0"/>
          <w:sz w:val="24"/>
        </w:rPr>
      </w:pPr>
    </w:p>
    <w:p w14:paraId="0DBC44A6">
      <w:pPr>
        <w:spacing w:line="360" w:lineRule="auto"/>
        <w:ind w:firstLine="482" w:firstLineChars="200"/>
        <w:rPr>
          <w:rFonts w:asciiTheme="minorEastAsia" w:hAnsiTheme="minorEastAsia"/>
          <w:b/>
          <w:sz w:val="24"/>
        </w:rPr>
      </w:pPr>
      <w:r>
        <w:rPr>
          <w:rFonts w:hint="eastAsia" w:asciiTheme="minorEastAsia" w:hAnsiTheme="minorEastAsia"/>
          <w:b/>
          <w:sz w:val="24"/>
        </w:rPr>
        <w:t>一、本期业绩预告情况</w:t>
      </w:r>
    </w:p>
    <w:p w14:paraId="0AA24A1B"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（一）业绩预告期间</w:t>
      </w:r>
    </w:p>
    <w:p w14:paraId="0F01B153"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2024年1月1日至2024年</w:t>
      </w:r>
      <w:r>
        <w:rPr>
          <w:rFonts w:asciiTheme="minorEastAsia" w:hAnsiTheme="minorEastAsia"/>
          <w:sz w:val="24"/>
        </w:rPr>
        <w:t>12</w:t>
      </w:r>
      <w:r>
        <w:rPr>
          <w:rFonts w:hint="eastAsia" w:asciiTheme="minorEastAsia" w:hAnsiTheme="minorEastAsia"/>
          <w:sz w:val="24"/>
        </w:rPr>
        <w:t>月3</w:t>
      </w:r>
      <w:r>
        <w:rPr>
          <w:rFonts w:asciiTheme="minorEastAsia" w:hAnsiTheme="minorEastAsia"/>
          <w:sz w:val="24"/>
        </w:rPr>
        <w:t>1</w:t>
      </w:r>
      <w:r>
        <w:rPr>
          <w:rFonts w:hint="eastAsia" w:asciiTheme="minorEastAsia" w:hAnsiTheme="minorEastAsia"/>
          <w:sz w:val="24"/>
        </w:rPr>
        <w:t>日</w:t>
      </w:r>
    </w:p>
    <w:p w14:paraId="4EFC6384"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（二）业绩预告情况</w:t>
      </w:r>
    </w:p>
    <w:p w14:paraId="438298CB"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1、经财务部门初步测算，预计2024年度实现归属于上市公司股东的净利润约</w:t>
      </w:r>
      <w:r>
        <w:rPr>
          <w:rFonts w:hint="eastAsia" w:ascii="宋体" w:hAnsi="宋体" w:cs="宋体"/>
          <w:color w:val="000000"/>
          <w:kern w:val="0"/>
          <w:sz w:val="24"/>
        </w:rPr>
        <w:t>5,500万元至8,00</w:t>
      </w:r>
      <w:r>
        <w:rPr>
          <w:rFonts w:hint="eastAsia" w:ascii="宋体" w:hAnsi="宋体" w:cs="宋体"/>
          <w:color w:val="000000"/>
          <w:kern w:val="0"/>
          <w:sz w:val="24"/>
          <w:highlight w:val="none"/>
        </w:rPr>
        <w:t>0万元</w:t>
      </w:r>
      <w:r>
        <w:rPr>
          <w:rFonts w:hint="eastAsia" w:asciiTheme="minorEastAsia" w:hAnsiTheme="minorEastAsia"/>
          <w:sz w:val="24"/>
          <w:highlight w:val="none"/>
        </w:rPr>
        <w:t>，与上年同期相比，将实现扭亏为盈。</w:t>
      </w:r>
    </w:p>
    <w:p w14:paraId="042C756C"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2、预计2024年度实现归属于上市公司扣除非经常性损益的净利润约3,500万元至6,000万元。</w:t>
      </w:r>
    </w:p>
    <w:p w14:paraId="38A16343"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（三）本期业绩预告未经注册会计师审计。</w:t>
      </w:r>
    </w:p>
    <w:p w14:paraId="2269CF91"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</w:p>
    <w:p w14:paraId="504CB96D">
      <w:pPr>
        <w:spacing w:line="360" w:lineRule="auto"/>
        <w:ind w:firstLine="482" w:firstLineChars="200"/>
        <w:rPr>
          <w:rFonts w:asciiTheme="minorEastAsia" w:hAnsiTheme="minorEastAsia"/>
          <w:b/>
          <w:sz w:val="24"/>
        </w:rPr>
      </w:pPr>
      <w:r>
        <w:rPr>
          <w:rFonts w:hint="eastAsia" w:asciiTheme="minorEastAsia" w:hAnsiTheme="minorEastAsia"/>
          <w:b/>
          <w:sz w:val="24"/>
        </w:rPr>
        <w:t>二、上年同期业绩情况</w:t>
      </w:r>
    </w:p>
    <w:p w14:paraId="2A727CF1"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（一）归属于上市公司股东的净利润：-7</w:t>
      </w:r>
      <w:r>
        <w:rPr>
          <w:rFonts w:asciiTheme="minorEastAsia" w:hAnsiTheme="minorEastAsia"/>
          <w:sz w:val="24"/>
        </w:rPr>
        <w:t>,</w:t>
      </w:r>
      <w:r>
        <w:rPr>
          <w:rFonts w:hint="eastAsia" w:asciiTheme="minorEastAsia" w:hAnsiTheme="minorEastAsia"/>
          <w:sz w:val="24"/>
        </w:rPr>
        <w:t>194.52万元。</w:t>
      </w:r>
    </w:p>
    <w:p w14:paraId="052FE413"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归属于上市公司股东的扣除非经常性损益的净利润：-9,887.70万元。</w:t>
      </w:r>
    </w:p>
    <w:p w14:paraId="194D5B10"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（二）每股收益：-0.101元。</w:t>
      </w:r>
    </w:p>
    <w:p w14:paraId="47AB2418"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</w:p>
    <w:p w14:paraId="0B9477CD">
      <w:pPr>
        <w:spacing w:line="360" w:lineRule="auto"/>
        <w:ind w:firstLine="482" w:firstLineChars="200"/>
        <w:rPr>
          <w:rFonts w:asciiTheme="minorEastAsia" w:hAnsiTheme="minorEastAsia"/>
          <w:b/>
          <w:sz w:val="24"/>
        </w:rPr>
      </w:pPr>
      <w:r>
        <w:rPr>
          <w:rFonts w:hint="eastAsia" w:asciiTheme="minorEastAsia" w:hAnsiTheme="minorEastAsia"/>
          <w:b/>
          <w:sz w:val="24"/>
        </w:rPr>
        <w:t>三、本期业绩扭亏为盈的主要原因</w:t>
      </w:r>
    </w:p>
    <w:p w14:paraId="684B49B0">
      <w:pPr>
        <w:widowControl/>
        <w:spacing w:line="360" w:lineRule="auto"/>
        <w:ind w:firstLine="480"/>
        <w:jc w:val="left"/>
        <w:rPr>
          <w:rFonts w:cs="宋体" w:asciiTheme="minorEastAsia" w:hAnsiTheme="minorEastAsia" w:eastAsiaTheme="minorEastAsia"/>
          <w:color w:val="000000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2024年4月起，</w:t>
      </w:r>
      <w:r>
        <w:rPr>
          <w:rFonts w:cs="宋体" w:asciiTheme="minorEastAsia" w:hAnsiTheme="minorEastAsia" w:eastAsiaTheme="minorEastAsia"/>
          <w:color w:val="000000"/>
          <w:kern w:val="0"/>
          <w:sz w:val="24"/>
        </w:rPr>
        <w:t>公司医美生科板块聚乳酸面部填充剂AestheFill艾塑菲实现销售产生利润。</w:t>
      </w:r>
    </w:p>
    <w:p w14:paraId="5556DE4D">
      <w:pPr>
        <w:widowControl/>
        <w:spacing w:line="360" w:lineRule="auto"/>
        <w:ind w:firstLine="480"/>
        <w:jc w:val="left"/>
        <w:rPr>
          <w:rFonts w:cs="宋体" w:asciiTheme="minorEastAsia" w:hAnsiTheme="minorEastAsia" w:eastAsiaTheme="minorEastAsia"/>
          <w:color w:val="000000"/>
          <w:kern w:val="0"/>
          <w:sz w:val="24"/>
        </w:rPr>
      </w:pPr>
    </w:p>
    <w:p w14:paraId="2B56DC73">
      <w:pPr>
        <w:widowControl/>
        <w:spacing w:line="360" w:lineRule="auto"/>
        <w:ind w:firstLine="480"/>
        <w:jc w:val="left"/>
        <w:rPr>
          <w:rFonts w:cs="宋体" w:asciiTheme="minorEastAsia" w:hAnsiTheme="minorEastAsia" w:eastAsiaTheme="minorEastAsia"/>
          <w:b/>
          <w:color w:val="000000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b/>
          <w:color w:val="000000"/>
          <w:kern w:val="0"/>
          <w:sz w:val="24"/>
        </w:rPr>
        <w:t>四、风险提示</w:t>
      </w:r>
    </w:p>
    <w:p w14:paraId="3E53F6C1">
      <w:pPr>
        <w:widowControl/>
        <w:spacing w:line="360" w:lineRule="auto"/>
        <w:ind w:firstLine="480"/>
        <w:jc w:val="left"/>
        <w:rPr>
          <w:rFonts w:cs="宋体" w:asciiTheme="minorEastAsia" w:hAnsiTheme="minorEastAsia" w:eastAsiaTheme="minorEastAsia"/>
          <w:color w:val="000000"/>
          <w:kern w:val="0"/>
          <w:sz w:val="24"/>
        </w:rPr>
      </w:pPr>
      <w:bookmarkStart w:id="0" w:name="_GoBack"/>
      <w:r>
        <w:rPr>
          <w:rFonts w:hint="eastAsia" w:cs="宋体" w:asciiTheme="minorEastAsia" w:hAnsiTheme="minorEastAsia" w:eastAsiaTheme="minorEastAsia"/>
          <w:color w:val="000000"/>
          <w:kern w:val="0"/>
          <w:sz w:val="24"/>
          <w:lang w:val="en-US" w:eastAsia="zh-CN"/>
        </w:rPr>
        <w:t>本次业绩预告是公司财务部门基于自身专业判断进行的初步核算，未经会计师事务所审计。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截至本公告披露日，公司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4"/>
          <w:lang w:val="en-US" w:eastAsia="zh-CN"/>
        </w:rPr>
        <w:t>尚未发现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影响本次业绩预告内容准确性的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4"/>
          <w:lang w:val="en-US" w:eastAsia="zh-CN"/>
        </w:rPr>
        <w:t>重大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不确定因素。</w:t>
      </w:r>
    </w:p>
    <w:bookmarkEnd w:id="0"/>
    <w:p w14:paraId="362E0ED3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</w:rPr>
      </w:pPr>
    </w:p>
    <w:p w14:paraId="1FFB7DC9">
      <w:pPr>
        <w:widowControl/>
        <w:spacing w:line="360" w:lineRule="auto"/>
        <w:ind w:firstLine="480"/>
        <w:jc w:val="left"/>
        <w:rPr>
          <w:rFonts w:cs="宋体" w:asciiTheme="minorEastAsia" w:hAnsiTheme="minorEastAsia" w:eastAsiaTheme="minorEastAsia"/>
          <w:b/>
          <w:color w:val="000000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b/>
          <w:color w:val="000000"/>
          <w:kern w:val="0"/>
          <w:sz w:val="24"/>
        </w:rPr>
        <w:t>五、其他说明事项</w:t>
      </w:r>
    </w:p>
    <w:p w14:paraId="0E15464A">
      <w:pPr>
        <w:widowControl/>
        <w:spacing w:line="360" w:lineRule="auto"/>
        <w:ind w:firstLine="480"/>
        <w:jc w:val="left"/>
        <w:rPr>
          <w:rFonts w:cs="宋体" w:asciiTheme="minorEastAsia" w:hAnsiTheme="minorEastAsia" w:eastAsiaTheme="minorEastAsia"/>
          <w:color w:val="000000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以上预告数据仅为初步核算数据，具体准确的财务数据以公司正式披露的2024年度报告为准，敬请广大投资者注意投资风险。</w:t>
      </w:r>
    </w:p>
    <w:p w14:paraId="6136362F">
      <w:pPr>
        <w:widowControl/>
        <w:spacing w:line="360" w:lineRule="auto"/>
        <w:ind w:firstLine="480"/>
        <w:jc w:val="left"/>
        <w:rPr>
          <w:rFonts w:cs="宋体" w:asciiTheme="minorEastAsia" w:hAnsiTheme="minorEastAsia" w:eastAsiaTheme="minorEastAsia"/>
          <w:color w:val="000000"/>
          <w:kern w:val="0"/>
          <w:sz w:val="24"/>
        </w:rPr>
      </w:pPr>
    </w:p>
    <w:p w14:paraId="77C996D7"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 w:eastAsiaTheme="minorEastAsia"/>
          <w:color w:val="000000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特此公告。</w:t>
      </w:r>
    </w:p>
    <w:p w14:paraId="0BACBA48"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 w:eastAsiaTheme="minorEastAsia"/>
          <w:color w:val="000000"/>
          <w:kern w:val="0"/>
          <w:sz w:val="24"/>
        </w:rPr>
      </w:pPr>
    </w:p>
    <w:p w14:paraId="7C731F83">
      <w:pPr>
        <w:spacing w:line="360" w:lineRule="auto"/>
        <w:ind w:firstLine="4320" w:firstLineChars="1800"/>
        <w:jc w:val="right"/>
        <w:rPr>
          <w:rFonts w:ascii="宋体" w:hAnsi="宋体"/>
          <w:sz w:val="24"/>
        </w:rPr>
      </w:pPr>
    </w:p>
    <w:p w14:paraId="678CF01B">
      <w:pPr>
        <w:spacing w:line="360" w:lineRule="auto"/>
        <w:ind w:firstLine="4320" w:firstLineChars="18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江苏吴中医药发展股份有限公司</w:t>
      </w:r>
    </w:p>
    <w:p w14:paraId="24E41E0B">
      <w:pPr>
        <w:spacing w:line="360" w:lineRule="auto"/>
        <w:ind w:right="1200" w:firstLine="4320" w:firstLineChars="180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董事会</w:t>
      </w:r>
    </w:p>
    <w:p w14:paraId="50C06E8D">
      <w:pPr>
        <w:wordWrap w:val="0"/>
        <w:spacing w:line="360" w:lineRule="auto"/>
        <w:ind w:firstLine="4320" w:firstLineChars="1800"/>
        <w:jc w:val="right"/>
      </w:pPr>
      <w:r>
        <w:rPr>
          <w:rFonts w:hint="eastAsia" w:ascii="宋体" w:hAnsi="宋体"/>
          <w:sz w:val="24"/>
        </w:rPr>
        <w:t xml:space="preserve">2025年1月21日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35A89"/>
    <w:multiLevelType w:val="multilevel"/>
    <w:tmpl w:val="25335A89"/>
    <w:lvl w:ilvl="0" w:tentative="0">
      <w:start w:val="1"/>
      <w:numFmt w:val="bullet"/>
      <w:lvlText w:val=""/>
      <w:lvlJc w:val="left"/>
      <w:pPr>
        <w:ind w:left="888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08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28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48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68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88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08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28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48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iNjFmNzExYjIxOGZkYmIzZDZjMzU4MDM2MDNkODEifQ=="/>
  </w:docVars>
  <w:rsids>
    <w:rsidRoot w:val="00A009BD"/>
    <w:rsid w:val="00003634"/>
    <w:rsid w:val="00004704"/>
    <w:rsid w:val="000052DC"/>
    <w:rsid w:val="0001153F"/>
    <w:rsid w:val="00014AE5"/>
    <w:rsid w:val="00015559"/>
    <w:rsid w:val="0003171D"/>
    <w:rsid w:val="00034EAF"/>
    <w:rsid w:val="000377FA"/>
    <w:rsid w:val="00037B42"/>
    <w:rsid w:val="00050069"/>
    <w:rsid w:val="000514F9"/>
    <w:rsid w:val="00054AB4"/>
    <w:rsid w:val="00055DC4"/>
    <w:rsid w:val="00060AD4"/>
    <w:rsid w:val="0007113B"/>
    <w:rsid w:val="00077985"/>
    <w:rsid w:val="00084BC3"/>
    <w:rsid w:val="0009559D"/>
    <w:rsid w:val="000A14CC"/>
    <w:rsid w:val="000C1EBF"/>
    <w:rsid w:val="000D5160"/>
    <w:rsid w:val="000D59A8"/>
    <w:rsid w:val="000E2525"/>
    <w:rsid w:val="000E33DE"/>
    <w:rsid w:val="000E5928"/>
    <w:rsid w:val="000E7F53"/>
    <w:rsid w:val="000F4B47"/>
    <w:rsid w:val="00101299"/>
    <w:rsid w:val="001044FC"/>
    <w:rsid w:val="00115DE0"/>
    <w:rsid w:val="00125BE8"/>
    <w:rsid w:val="00125EB5"/>
    <w:rsid w:val="001302DF"/>
    <w:rsid w:val="00135EF3"/>
    <w:rsid w:val="00141A30"/>
    <w:rsid w:val="0014235B"/>
    <w:rsid w:val="001449C0"/>
    <w:rsid w:val="00151157"/>
    <w:rsid w:val="00163205"/>
    <w:rsid w:val="00167B35"/>
    <w:rsid w:val="00173650"/>
    <w:rsid w:val="00173BB6"/>
    <w:rsid w:val="001741A0"/>
    <w:rsid w:val="00184711"/>
    <w:rsid w:val="00190F6C"/>
    <w:rsid w:val="00194544"/>
    <w:rsid w:val="001A36D5"/>
    <w:rsid w:val="001A69DA"/>
    <w:rsid w:val="001A6F91"/>
    <w:rsid w:val="001C16DA"/>
    <w:rsid w:val="001D0721"/>
    <w:rsid w:val="001D198B"/>
    <w:rsid w:val="001E39C4"/>
    <w:rsid w:val="001E49FF"/>
    <w:rsid w:val="001E57CA"/>
    <w:rsid w:val="001F02C0"/>
    <w:rsid w:val="001F698F"/>
    <w:rsid w:val="00201E57"/>
    <w:rsid w:val="00204DB0"/>
    <w:rsid w:val="002101B8"/>
    <w:rsid w:val="002127B8"/>
    <w:rsid w:val="00227A64"/>
    <w:rsid w:val="0023086A"/>
    <w:rsid w:val="002339D0"/>
    <w:rsid w:val="002343EA"/>
    <w:rsid w:val="002442A3"/>
    <w:rsid w:val="002473AD"/>
    <w:rsid w:val="00251C73"/>
    <w:rsid w:val="00256018"/>
    <w:rsid w:val="002561CC"/>
    <w:rsid w:val="0025726D"/>
    <w:rsid w:val="0025795B"/>
    <w:rsid w:val="00266464"/>
    <w:rsid w:val="00270486"/>
    <w:rsid w:val="0027220C"/>
    <w:rsid w:val="0027413C"/>
    <w:rsid w:val="0027469E"/>
    <w:rsid w:val="002778FD"/>
    <w:rsid w:val="00277AAE"/>
    <w:rsid w:val="002808AB"/>
    <w:rsid w:val="00280F5E"/>
    <w:rsid w:val="00284CD2"/>
    <w:rsid w:val="00285080"/>
    <w:rsid w:val="00297F43"/>
    <w:rsid w:val="002A1B60"/>
    <w:rsid w:val="002B5713"/>
    <w:rsid w:val="002B7CCB"/>
    <w:rsid w:val="002C43B8"/>
    <w:rsid w:val="002C45E5"/>
    <w:rsid w:val="002C71E7"/>
    <w:rsid w:val="002D1D9B"/>
    <w:rsid w:val="002D2369"/>
    <w:rsid w:val="002D4C8C"/>
    <w:rsid w:val="002D65CF"/>
    <w:rsid w:val="002F64AF"/>
    <w:rsid w:val="002F68F7"/>
    <w:rsid w:val="002F74DC"/>
    <w:rsid w:val="0030503B"/>
    <w:rsid w:val="00324EB8"/>
    <w:rsid w:val="003307ED"/>
    <w:rsid w:val="003334F6"/>
    <w:rsid w:val="0033665B"/>
    <w:rsid w:val="003402E8"/>
    <w:rsid w:val="00342CB6"/>
    <w:rsid w:val="00353BA1"/>
    <w:rsid w:val="00360937"/>
    <w:rsid w:val="00363847"/>
    <w:rsid w:val="0036422B"/>
    <w:rsid w:val="003657D5"/>
    <w:rsid w:val="0036683C"/>
    <w:rsid w:val="00367CCA"/>
    <w:rsid w:val="0037324C"/>
    <w:rsid w:val="00373349"/>
    <w:rsid w:val="0038210C"/>
    <w:rsid w:val="003870CC"/>
    <w:rsid w:val="003A1590"/>
    <w:rsid w:val="003A3996"/>
    <w:rsid w:val="003B1D84"/>
    <w:rsid w:val="003B5345"/>
    <w:rsid w:val="003C607D"/>
    <w:rsid w:val="003D0C3B"/>
    <w:rsid w:val="003D3FFF"/>
    <w:rsid w:val="003D798A"/>
    <w:rsid w:val="003E2FD2"/>
    <w:rsid w:val="003E355B"/>
    <w:rsid w:val="003F5DA1"/>
    <w:rsid w:val="00410015"/>
    <w:rsid w:val="00417107"/>
    <w:rsid w:val="0041720E"/>
    <w:rsid w:val="0042410C"/>
    <w:rsid w:val="004374BE"/>
    <w:rsid w:val="0044127B"/>
    <w:rsid w:val="00444265"/>
    <w:rsid w:val="0044449E"/>
    <w:rsid w:val="004502F4"/>
    <w:rsid w:val="004667F2"/>
    <w:rsid w:val="00475AC0"/>
    <w:rsid w:val="00491CB2"/>
    <w:rsid w:val="004958E0"/>
    <w:rsid w:val="00496E8A"/>
    <w:rsid w:val="004A41EF"/>
    <w:rsid w:val="004A44DF"/>
    <w:rsid w:val="004B0428"/>
    <w:rsid w:val="004B70B1"/>
    <w:rsid w:val="004B7E3E"/>
    <w:rsid w:val="004C0C76"/>
    <w:rsid w:val="004C27B9"/>
    <w:rsid w:val="004C3A3E"/>
    <w:rsid w:val="004C3DB4"/>
    <w:rsid w:val="004D2BA0"/>
    <w:rsid w:val="004E363D"/>
    <w:rsid w:val="004F1ED6"/>
    <w:rsid w:val="004F1F15"/>
    <w:rsid w:val="004F65E5"/>
    <w:rsid w:val="005014D1"/>
    <w:rsid w:val="00507FDE"/>
    <w:rsid w:val="00517BE0"/>
    <w:rsid w:val="00517C61"/>
    <w:rsid w:val="005216F4"/>
    <w:rsid w:val="0054211F"/>
    <w:rsid w:val="00542DA0"/>
    <w:rsid w:val="0054311D"/>
    <w:rsid w:val="005477DA"/>
    <w:rsid w:val="005542A7"/>
    <w:rsid w:val="00555131"/>
    <w:rsid w:val="00557690"/>
    <w:rsid w:val="00557784"/>
    <w:rsid w:val="0056568B"/>
    <w:rsid w:val="005712CB"/>
    <w:rsid w:val="00572AC7"/>
    <w:rsid w:val="00572D96"/>
    <w:rsid w:val="005737FA"/>
    <w:rsid w:val="00577CBB"/>
    <w:rsid w:val="00580E39"/>
    <w:rsid w:val="00591636"/>
    <w:rsid w:val="005B4F18"/>
    <w:rsid w:val="005C3668"/>
    <w:rsid w:val="005D417A"/>
    <w:rsid w:val="005D4ACB"/>
    <w:rsid w:val="005D5EDA"/>
    <w:rsid w:val="005E4AFF"/>
    <w:rsid w:val="005F0AEF"/>
    <w:rsid w:val="005F50CD"/>
    <w:rsid w:val="005F7B0B"/>
    <w:rsid w:val="00606509"/>
    <w:rsid w:val="00611B59"/>
    <w:rsid w:val="00615D49"/>
    <w:rsid w:val="006225A3"/>
    <w:rsid w:val="0062719F"/>
    <w:rsid w:val="006412D7"/>
    <w:rsid w:val="006446F0"/>
    <w:rsid w:val="00645C77"/>
    <w:rsid w:val="00647683"/>
    <w:rsid w:val="00660600"/>
    <w:rsid w:val="00662769"/>
    <w:rsid w:val="00663516"/>
    <w:rsid w:val="00664704"/>
    <w:rsid w:val="0067327D"/>
    <w:rsid w:val="0067661A"/>
    <w:rsid w:val="00682D83"/>
    <w:rsid w:val="006830C3"/>
    <w:rsid w:val="00683AED"/>
    <w:rsid w:val="00683FC9"/>
    <w:rsid w:val="0069424B"/>
    <w:rsid w:val="00695D72"/>
    <w:rsid w:val="006A1A8F"/>
    <w:rsid w:val="006A1D00"/>
    <w:rsid w:val="006A4EA1"/>
    <w:rsid w:val="006B29CA"/>
    <w:rsid w:val="006B2B65"/>
    <w:rsid w:val="006B7491"/>
    <w:rsid w:val="006C1D25"/>
    <w:rsid w:val="006D6128"/>
    <w:rsid w:val="006E12CC"/>
    <w:rsid w:val="006F2205"/>
    <w:rsid w:val="006F2C88"/>
    <w:rsid w:val="007001F0"/>
    <w:rsid w:val="007014FC"/>
    <w:rsid w:val="00712B2A"/>
    <w:rsid w:val="007230C3"/>
    <w:rsid w:val="0075060C"/>
    <w:rsid w:val="007564B5"/>
    <w:rsid w:val="0076676A"/>
    <w:rsid w:val="00766EEB"/>
    <w:rsid w:val="00772A33"/>
    <w:rsid w:val="007826E8"/>
    <w:rsid w:val="007855B1"/>
    <w:rsid w:val="0078609E"/>
    <w:rsid w:val="007918EE"/>
    <w:rsid w:val="00797548"/>
    <w:rsid w:val="007A1575"/>
    <w:rsid w:val="007C0761"/>
    <w:rsid w:val="007C3916"/>
    <w:rsid w:val="007C79A9"/>
    <w:rsid w:val="007C7BAF"/>
    <w:rsid w:val="007C7F04"/>
    <w:rsid w:val="007E3476"/>
    <w:rsid w:val="00802A0A"/>
    <w:rsid w:val="008051A9"/>
    <w:rsid w:val="008051F9"/>
    <w:rsid w:val="00824AB0"/>
    <w:rsid w:val="008378DC"/>
    <w:rsid w:val="00837AFB"/>
    <w:rsid w:val="008412C9"/>
    <w:rsid w:val="00887DA0"/>
    <w:rsid w:val="00893296"/>
    <w:rsid w:val="008935D4"/>
    <w:rsid w:val="00896A1E"/>
    <w:rsid w:val="008A72B1"/>
    <w:rsid w:val="008B3703"/>
    <w:rsid w:val="008B3DD4"/>
    <w:rsid w:val="008B43ED"/>
    <w:rsid w:val="008B4735"/>
    <w:rsid w:val="008B5B30"/>
    <w:rsid w:val="008B6235"/>
    <w:rsid w:val="008C0E07"/>
    <w:rsid w:val="008E2C48"/>
    <w:rsid w:val="008E57CC"/>
    <w:rsid w:val="008F2EC5"/>
    <w:rsid w:val="008F5155"/>
    <w:rsid w:val="008F6AB5"/>
    <w:rsid w:val="00907488"/>
    <w:rsid w:val="0091209A"/>
    <w:rsid w:val="00933FA5"/>
    <w:rsid w:val="00934104"/>
    <w:rsid w:val="009440E4"/>
    <w:rsid w:val="0094672C"/>
    <w:rsid w:val="00955A3F"/>
    <w:rsid w:val="00960430"/>
    <w:rsid w:val="00967AA4"/>
    <w:rsid w:val="00972218"/>
    <w:rsid w:val="009841CB"/>
    <w:rsid w:val="00995DC5"/>
    <w:rsid w:val="009E1FA0"/>
    <w:rsid w:val="009E3014"/>
    <w:rsid w:val="009E66F9"/>
    <w:rsid w:val="009F0BB3"/>
    <w:rsid w:val="00A009BD"/>
    <w:rsid w:val="00A05A16"/>
    <w:rsid w:val="00A06832"/>
    <w:rsid w:val="00A1341B"/>
    <w:rsid w:val="00A13AC5"/>
    <w:rsid w:val="00A1423D"/>
    <w:rsid w:val="00A204FB"/>
    <w:rsid w:val="00A205C1"/>
    <w:rsid w:val="00A206E4"/>
    <w:rsid w:val="00A21CA0"/>
    <w:rsid w:val="00A267F9"/>
    <w:rsid w:val="00A31603"/>
    <w:rsid w:val="00A34683"/>
    <w:rsid w:val="00A36051"/>
    <w:rsid w:val="00A37C3C"/>
    <w:rsid w:val="00A42891"/>
    <w:rsid w:val="00A4743B"/>
    <w:rsid w:val="00A51FF0"/>
    <w:rsid w:val="00A6149B"/>
    <w:rsid w:val="00A72475"/>
    <w:rsid w:val="00A80839"/>
    <w:rsid w:val="00A842DF"/>
    <w:rsid w:val="00A950B9"/>
    <w:rsid w:val="00A973BC"/>
    <w:rsid w:val="00AA10D4"/>
    <w:rsid w:val="00AA706B"/>
    <w:rsid w:val="00AB0CFB"/>
    <w:rsid w:val="00AB15F8"/>
    <w:rsid w:val="00AB2664"/>
    <w:rsid w:val="00AB53AC"/>
    <w:rsid w:val="00AB6C97"/>
    <w:rsid w:val="00AC11D0"/>
    <w:rsid w:val="00AC7ABF"/>
    <w:rsid w:val="00AD0003"/>
    <w:rsid w:val="00AD18E5"/>
    <w:rsid w:val="00AD7DEB"/>
    <w:rsid w:val="00AE30A2"/>
    <w:rsid w:val="00AF45BF"/>
    <w:rsid w:val="00AF476E"/>
    <w:rsid w:val="00B03668"/>
    <w:rsid w:val="00B06217"/>
    <w:rsid w:val="00B07E79"/>
    <w:rsid w:val="00B11E86"/>
    <w:rsid w:val="00B17AF8"/>
    <w:rsid w:val="00B27494"/>
    <w:rsid w:val="00B31A8D"/>
    <w:rsid w:val="00B32D2C"/>
    <w:rsid w:val="00B34FA7"/>
    <w:rsid w:val="00B369BE"/>
    <w:rsid w:val="00B40795"/>
    <w:rsid w:val="00B40E4D"/>
    <w:rsid w:val="00B52013"/>
    <w:rsid w:val="00B57C2F"/>
    <w:rsid w:val="00B83882"/>
    <w:rsid w:val="00B83EF8"/>
    <w:rsid w:val="00B84EFE"/>
    <w:rsid w:val="00B87AB6"/>
    <w:rsid w:val="00B929E0"/>
    <w:rsid w:val="00BA1EF6"/>
    <w:rsid w:val="00BA46C7"/>
    <w:rsid w:val="00BB5C59"/>
    <w:rsid w:val="00BB5E17"/>
    <w:rsid w:val="00BB5F62"/>
    <w:rsid w:val="00BC7D27"/>
    <w:rsid w:val="00BE0A0A"/>
    <w:rsid w:val="00BE13AC"/>
    <w:rsid w:val="00BE168A"/>
    <w:rsid w:val="00BE7989"/>
    <w:rsid w:val="00BF5380"/>
    <w:rsid w:val="00BF68F7"/>
    <w:rsid w:val="00C015E0"/>
    <w:rsid w:val="00C01D90"/>
    <w:rsid w:val="00C1036D"/>
    <w:rsid w:val="00C14435"/>
    <w:rsid w:val="00C209AA"/>
    <w:rsid w:val="00C20B2B"/>
    <w:rsid w:val="00C37A71"/>
    <w:rsid w:val="00C442D1"/>
    <w:rsid w:val="00C51C5F"/>
    <w:rsid w:val="00C62BAA"/>
    <w:rsid w:val="00C65924"/>
    <w:rsid w:val="00C66833"/>
    <w:rsid w:val="00C66A20"/>
    <w:rsid w:val="00C6792D"/>
    <w:rsid w:val="00C71DAA"/>
    <w:rsid w:val="00C745A9"/>
    <w:rsid w:val="00C770B6"/>
    <w:rsid w:val="00C77455"/>
    <w:rsid w:val="00C77936"/>
    <w:rsid w:val="00C77C63"/>
    <w:rsid w:val="00C8490D"/>
    <w:rsid w:val="00C84E9B"/>
    <w:rsid w:val="00C875F5"/>
    <w:rsid w:val="00C9289C"/>
    <w:rsid w:val="00CA1004"/>
    <w:rsid w:val="00CB2DCE"/>
    <w:rsid w:val="00CC65AD"/>
    <w:rsid w:val="00CC7C0B"/>
    <w:rsid w:val="00CD2A4D"/>
    <w:rsid w:val="00CD44DC"/>
    <w:rsid w:val="00CD5891"/>
    <w:rsid w:val="00CD607E"/>
    <w:rsid w:val="00CD6EAB"/>
    <w:rsid w:val="00CD7F62"/>
    <w:rsid w:val="00CE3B3D"/>
    <w:rsid w:val="00CE4D8A"/>
    <w:rsid w:val="00CF2676"/>
    <w:rsid w:val="00CF42BE"/>
    <w:rsid w:val="00CF7E7A"/>
    <w:rsid w:val="00D0156B"/>
    <w:rsid w:val="00D04CBB"/>
    <w:rsid w:val="00D05E2F"/>
    <w:rsid w:val="00D141A5"/>
    <w:rsid w:val="00D21B8D"/>
    <w:rsid w:val="00D23A66"/>
    <w:rsid w:val="00D24824"/>
    <w:rsid w:val="00D26D15"/>
    <w:rsid w:val="00D3212E"/>
    <w:rsid w:val="00D42767"/>
    <w:rsid w:val="00D431AD"/>
    <w:rsid w:val="00D45281"/>
    <w:rsid w:val="00D53DC4"/>
    <w:rsid w:val="00D601FE"/>
    <w:rsid w:val="00D6753A"/>
    <w:rsid w:val="00D7040A"/>
    <w:rsid w:val="00D71559"/>
    <w:rsid w:val="00D73864"/>
    <w:rsid w:val="00D77523"/>
    <w:rsid w:val="00D819D3"/>
    <w:rsid w:val="00D86A2F"/>
    <w:rsid w:val="00D909E7"/>
    <w:rsid w:val="00D90BC6"/>
    <w:rsid w:val="00D92B06"/>
    <w:rsid w:val="00D9452A"/>
    <w:rsid w:val="00DC0757"/>
    <w:rsid w:val="00DC1510"/>
    <w:rsid w:val="00DC6A0F"/>
    <w:rsid w:val="00DD409A"/>
    <w:rsid w:val="00DE24B3"/>
    <w:rsid w:val="00DE3893"/>
    <w:rsid w:val="00DE4805"/>
    <w:rsid w:val="00DF08C9"/>
    <w:rsid w:val="00E003D0"/>
    <w:rsid w:val="00E025CD"/>
    <w:rsid w:val="00E05034"/>
    <w:rsid w:val="00E14AD6"/>
    <w:rsid w:val="00E220DE"/>
    <w:rsid w:val="00E2613B"/>
    <w:rsid w:val="00E26F68"/>
    <w:rsid w:val="00E30EA1"/>
    <w:rsid w:val="00E31233"/>
    <w:rsid w:val="00E32594"/>
    <w:rsid w:val="00E373CB"/>
    <w:rsid w:val="00E4508D"/>
    <w:rsid w:val="00E521FA"/>
    <w:rsid w:val="00E55042"/>
    <w:rsid w:val="00E6168C"/>
    <w:rsid w:val="00E62058"/>
    <w:rsid w:val="00E630D0"/>
    <w:rsid w:val="00E74755"/>
    <w:rsid w:val="00E74BCC"/>
    <w:rsid w:val="00E74E4D"/>
    <w:rsid w:val="00E76A73"/>
    <w:rsid w:val="00E77D37"/>
    <w:rsid w:val="00E81D6C"/>
    <w:rsid w:val="00E90C0B"/>
    <w:rsid w:val="00E915EA"/>
    <w:rsid w:val="00E9529E"/>
    <w:rsid w:val="00E96761"/>
    <w:rsid w:val="00E97E93"/>
    <w:rsid w:val="00EA6444"/>
    <w:rsid w:val="00EB0FB2"/>
    <w:rsid w:val="00EB5658"/>
    <w:rsid w:val="00EB7FBA"/>
    <w:rsid w:val="00ED4428"/>
    <w:rsid w:val="00ED6800"/>
    <w:rsid w:val="00EE1637"/>
    <w:rsid w:val="00EF67AA"/>
    <w:rsid w:val="00EF77B8"/>
    <w:rsid w:val="00F03FA2"/>
    <w:rsid w:val="00F07A0E"/>
    <w:rsid w:val="00F11687"/>
    <w:rsid w:val="00F12677"/>
    <w:rsid w:val="00F13C59"/>
    <w:rsid w:val="00F161EE"/>
    <w:rsid w:val="00F168FB"/>
    <w:rsid w:val="00F20DD1"/>
    <w:rsid w:val="00F21312"/>
    <w:rsid w:val="00F23D77"/>
    <w:rsid w:val="00F25681"/>
    <w:rsid w:val="00F3504C"/>
    <w:rsid w:val="00F41B3B"/>
    <w:rsid w:val="00F43502"/>
    <w:rsid w:val="00F642E6"/>
    <w:rsid w:val="00F75621"/>
    <w:rsid w:val="00F75B8D"/>
    <w:rsid w:val="00F7601B"/>
    <w:rsid w:val="00F84401"/>
    <w:rsid w:val="00F92A30"/>
    <w:rsid w:val="00F950E7"/>
    <w:rsid w:val="00FA5496"/>
    <w:rsid w:val="00FB3375"/>
    <w:rsid w:val="00FB56C5"/>
    <w:rsid w:val="00FB79DD"/>
    <w:rsid w:val="00FC49C6"/>
    <w:rsid w:val="00FD17D4"/>
    <w:rsid w:val="00FD212D"/>
    <w:rsid w:val="00FD2D67"/>
    <w:rsid w:val="00FE4FBE"/>
    <w:rsid w:val="00FE57F0"/>
    <w:rsid w:val="00FE5ACA"/>
    <w:rsid w:val="00FF4417"/>
    <w:rsid w:val="0580185D"/>
    <w:rsid w:val="13385187"/>
    <w:rsid w:val="1585042C"/>
    <w:rsid w:val="16092E0B"/>
    <w:rsid w:val="219F63D1"/>
    <w:rsid w:val="26541E80"/>
    <w:rsid w:val="2A2B4768"/>
    <w:rsid w:val="2A6308E4"/>
    <w:rsid w:val="2B404781"/>
    <w:rsid w:val="2CD01F6C"/>
    <w:rsid w:val="2FEC3129"/>
    <w:rsid w:val="36291055"/>
    <w:rsid w:val="3700570C"/>
    <w:rsid w:val="3ED731F7"/>
    <w:rsid w:val="432647F6"/>
    <w:rsid w:val="499757E3"/>
    <w:rsid w:val="5F850125"/>
    <w:rsid w:val="60D96503"/>
    <w:rsid w:val="632048BD"/>
    <w:rsid w:val="77CC403F"/>
    <w:rsid w:val="7F72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652</Words>
  <Characters>759</Characters>
  <Lines>5</Lines>
  <Paragraphs>1</Paragraphs>
  <TotalTime>22</TotalTime>
  <ScaleCrop>false</ScaleCrop>
  <LinksUpToDate>false</LinksUpToDate>
  <CharactersWithSpaces>798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2025-01-17T06:49:00Z</dcterms:created>
  <dc:creator>李锐</dc:creator>
  <cp:lastModifiedBy>王雅杰</cp:lastModifiedBy>
  <cp:lastPrinted>2025-01-20T07:29:28Z</cp:lastPrinted>
  <dcterms:modified xsi:type="dcterms:W3CDTF">2025-01-20T07:32:40Z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611DF3C3592041A08271AB8D49C86DA4</vt:lpwstr>
  </property>
  <property fmtid="{D5CDD505-2E9C-101B-9397-08002B2CF9AE}" pid="4" name="KSOTemplateDocerSaveRecord">
    <vt:lpwstr>eyJoZGlkIjoiZmJiNjFmNzExYjIxOGZkYmIzZDZjMzU4MDM2MDNkODEiLCJ1c2VySWQiOiIyNzUyOTQ2MDUifQ==</vt:lpwstr>
  </property>
</Properties>
</file>